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B8D6">
      <w:pPr>
        <w:spacing w:line="360" w:lineRule="auto"/>
        <w:ind w:firstLine="560" w:firstLineChars="200"/>
        <w:rPr>
          <w:rFonts w:hint="eastAsia" w:ascii="仿宋" w:hAnsi="仿宋" w:eastAsia="仿宋" w:cs="仿宋"/>
          <w:color w:val="auto"/>
          <w:sz w:val="28"/>
          <w:szCs w:val="28"/>
          <w:highlight w:val="none"/>
        </w:rPr>
      </w:pPr>
    </w:p>
    <w:p w14:paraId="5340E095">
      <w:pPr>
        <w:spacing w:line="360" w:lineRule="auto"/>
        <w:jc w:val="center"/>
        <w:rPr>
          <w:rFonts w:ascii="宋体" w:hAnsi="宋体"/>
          <w:b/>
          <w:color w:val="auto"/>
          <w:sz w:val="72"/>
          <w:szCs w:val="72"/>
          <w:highlight w:val="none"/>
        </w:rPr>
      </w:pPr>
    </w:p>
    <w:p w14:paraId="12D2E415">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福建省莲花服装实业有限责任公司</w:t>
      </w:r>
      <w:r>
        <w:rPr>
          <w:rFonts w:hint="eastAsia" w:ascii="宋体" w:hAnsi="宋体"/>
          <w:b/>
          <w:color w:val="auto"/>
          <w:sz w:val="72"/>
          <w:szCs w:val="72"/>
          <w:highlight w:val="none"/>
        </w:rPr>
        <w:t xml:space="preserve"> </w:t>
      </w:r>
    </w:p>
    <w:p w14:paraId="14E7AE8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6F2D45F3">
      <w:pPr>
        <w:pStyle w:val="12"/>
        <w:spacing w:line="0" w:lineRule="atLeast"/>
        <w:rPr>
          <w:rFonts w:hAnsi="宋体"/>
          <w:b/>
          <w:color w:val="auto"/>
          <w:sz w:val="32"/>
          <w:highlight w:val="none"/>
        </w:rPr>
      </w:pPr>
    </w:p>
    <w:p w14:paraId="7ADAFCA2">
      <w:pPr>
        <w:pStyle w:val="12"/>
        <w:spacing w:line="0" w:lineRule="atLeast"/>
        <w:jc w:val="center"/>
        <w:rPr>
          <w:rFonts w:hAnsi="宋体"/>
          <w:b/>
          <w:color w:val="auto"/>
          <w:sz w:val="36"/>
          <w:highlight w:val="none"/>
        </w:rPr>
      </w:pPr>
    </w:p>
    <w:p w14:paraId="5CE0F894">
      <w:pPr>
        <w:pStyle w:val="12"/>
        <w:spacing w:line="0" w:lineRule="atLeast"/>
        <w:jc w:val="center"/>
        <w:rPr>
          <w:rFonts w:hAnsi="宋体"/>
          <w:b/>
          <w:color w:val="auto"/>
          <w:sz w:val="36"/>
          <w:highlight w:val="none"/>
        </w:rPr>
      </w:pPr>
    </w:p>
    <w:p w14:paraId="3006A80E">
      <w:pPr>
        <w:pStyle w:val="12"/>
        <w:spacing w:line="0" w:lineRule="atLeast"/>
        <w:jc w:val="center"/>
        <w:rPr>
          <w:rFonts w:hAnsi="宋体"/>
          <w:b/>
          <w:color w:val="auto"/>
          <w:sz w:val="36"/>
          <w:highlight w:val="none"/>
        </w:rPr>
      </w:pPr>
    </w:p>
    <w:p w14:paraId="49D21187">
      <w:pPr>
        <w:pStyle w:val="12"/>
        <w:spacing w:line="400" w:lineRule="exact"/>
        <w:rPr>
          <w:rFonts w:hAnsi="宋体"/>
          <w:b/>
          <w:color w:val="auto"/>
          <w:sz w:val="36"/>
          <w:highlight w:val="none"/>
        </w:rPr>
      </w:pPr>
    </w:p>
    <w:p w14:paraId="3C7646BD">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FJKZB-6159092024</w:t>
      </w:r>
    </w:p>
    <w:p w14:paraId="49A67F8B">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消控维保服务采购项目</w:t>
      </w:r>
    </w:p>
    <w:p w14:paraId="6974DDDB">
      <w:pPr>
        <w:pStyle w:val="12"/>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福建省莲花服装实业有限责任公司</w:t>
      </w:r>
      <w:r>
        <w:rPr>
          <w:rFonts w:hint="eastAsia" w:hAnsi="宋体"/>
          <w:b/>
          <w:color w:val="auto"/>
          <w:sz w:val="32"/>
          <w:szCs w:val="32"/>
          <w:highlight w:val="none"/>
        </w:rPr>
        <w:t xml:space="preserve">   </w:t>
      </w:r>
    </w:p>
    <w:p w14:paraId="01B2AEF2">
      <w:pPr>
        <w:spacing w:line="500" w:lineRule="exact"/>
        <w:rPr>
          <w:rFonts w:ascii="宋体" w:hAnsi="宋体"/>
          <w:b/>
          <w:color w:val="auto"/>
          <w:sz w:val="48"/>
          <w:highlight w:val="none"/>
        </w:rPr>
      </w:pPr>
    </w:p>
    <w:p w14:paraId="415D8FBA">
      <w:pPr>
        <w:pStyle w:val="7"/>
        <w:rPr>
          <w:color w:val="auto"/>
          <w:sz w:val="48"/>
          <w:highlight w:val="none"/>
        </w:rPr>
      </w:pPr>
    </w:p>
    <w:p w14:paraId="45FE2F56">
      <w:pPr>
        <w:rPr>
          <w:color w:val="auto"/>
          <w:highlight w:val="none"/>
        </w:rPr>
      </w:pPr>
    </w:p>
    <w:p w14:paraId="11E0E5DC">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1A99C72C">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月</w:t>
      </w:r>
    </w:p>
    <w:p w14:paraId="3AED2E71">
      <w:pPr>
        <w:pStyle w:val="3"/>
        <w:rPr>
          <w:rFonts w:ascii="宋体" w:hAnsi="宋体"/>
          <w:color w:val="auto"/>
          <w:highlight w:val="none"/>
        </w:rPr>
      </w:pPr>
    </w:p>
    <w:p w14:paraId="262B8C5A">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6DC22E9B">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4AFFDE2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福建省莲花服装实业有限责任公司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消控维保服务采购项目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2B427917">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FJKZB-6159092024</w:t>
      </w:r>
    </w:p>
    <w:p w14:paraId="6754E013">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消控维保服务采购项目</w:t>
      </w:r>
    </w:p>
    <w:p w14:paraId="535D33E5">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3857BCBB">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6F21FDD7">
      <w:pPr>
        <w:spacing w:line="360" w:lineRule="auto"/>
        <w:ind w:firstLine="480" w:firstLineChars="200"/>
        <w:rPr>
          <w:rFonts w:ascii="宋体" w:hAnsi="宋体"/>
          <w:color w:val="auto"/>
          <w:sz w:val="24"/>
          <w:highlight w:val="none"/>
        </w:rPr>
      </w:pPr>
      <w:bookmarkStart w:id="0" w:name="OLE_LINK5"/>
      <w:bookmarkStart w:id="1"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   1</w:t>
      </w:r>
      <w:bookmarkStart w:id="28" w:name="_GoBack"/>
      <w:bookmarkEnd w:id="28"/>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10107E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   16:30:00</w:t>
      </w:r>
    </w:p>
    <w:p w14:paraId="7FB4D1E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   09:30:00</w:t>
      </w:r>
    </w:p>
    <w:p w14:paraId="207641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   11:30:00</w:t>
      </w:r>
    </w:p>
    <w:bookmarkEnd w:id="0"/>
    <w:p w14:paraId="03BA7B2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3FE70386">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2021B31A">
      <w:pPr>
        <w:pStyle w:val="30"/>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2AE0993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3D2CD53">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DCE022F">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00D6C4B0">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47FF5781">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应是在“福建消防技术服务信息平台（</w:t>
      </w:r>
      <w:r>
        <w:rPr>
          <w:rStyle w:val="31"/>
          <w:rFonts w:hint="eastAsia" w:ascii="宋体" w:hAnsi="宋体" w:eastAsia="宋体" w:cs="宋体"/>
          <w:bCs w:val="0"/>
          <w:sz w:val="24"/>
        </w:rPr>
        <w:fldChar w:fldCharType="begin"/>
      </w:r>
      <w:r>
        <w:rPr>
          <w:rStyle w:val="31"/>
          <w:rFonts w:hint="eastAsia" w:ascii="宋体" w:hAnsi="宋体" w:eastAsia="宋体" w:cs="宋体"/>
          <w:bCs w:val="0"/>
          <w:sz w:val="24"/>
        </w:rPr>
        <w:instrText xml:space="preserve"> HYPERLINK "http://pa.ebfire.cn:8094/" </w:instrText>
      </w:r>
      <w:r>
        <w:rPr>
          <w:rStyle w:val="31"/>
          <w:rFonts w:hint="eastAsia" w:ascii="宋体" w:hAnsi="宋体" w:eastAsia="宋体" w:cs="宋体"/>
          <w:bCs w:val="0"/>
          <w:sz w:val="24"/>
        </w:rPr>
        <w:fldChar w:fldCharType="separate"/>
      </w:r>
      <w:r>
        <w:rPr>
          <w:rStyle w:val="31"/>
          <w:rFonts w:hint="eastAsia" w:ascii="宋体" w:hAnsi="宋体" w:eastAsia="宋体" w:cs="宋体"/>
          <w:bCs w:val="0"/>
          <w:sz w:val="24"/>
        </w:rPr>
        <w:t>http://pa.eb</w:t>
      </w:r>
      <w:bookmarkStart w:id="2" w:name="_Hlt88242130"/>
      <w:bookmarkStart w:id="3" w:name="_Hlt88242131"/>
      <w:r>
        <w:rPr>
          <w:rStyle w:val="31"/>
          <w:rFonts w:hint="eastAsia" w:ascii="宋体" w:hAnsi="宋体" w:eastAsia="宋体" w:cs="宋体"/>
          <w:bCs w:val="0"/>
          <w:sz w:val="24"/>
        </w:rPr>
        <w:t>f</w:t>
      </w:r>
      <w:bookmarkEnd w:id="2"/>
      <w:bookmarkEnd w:id="3"/>
      <w:r>
        <w:rPr>
          <w:rStyle w:val="31"/>
          <w:rFonts w:hint="eastAsia" w:ascii="宋体" w:hAnsi="宋体" w:eastAsia="宋体" w:cs="宋体"/>
          <w:bCs w:val="0"/>
          <w:sz w:val="24"/>
        </w:rPr>
        <w:t>ire.cn:8094/</w:t>
      </w:r>
      <w:r>
        <w:rPr>
          <w:rStyle w:val="31"/>
          <w:rFonts w:hint="eastAsia" w:ascii="宋体" w:hAnsi="宋体" w:eastAsia="宋体" w:cs="宋体"/>
          <w:bCs w:val="0"/>
          <w:sz w:val="24"/>
        </w:rPr>
        <w:fldChar w:fldCharType="end"/>
      </w:r>
      <w:r>
        <w:rPr>
          <w:rStyle w:val="31"/>
          <w:rFonts w:hint="eastAsia" w:ascii="宋体" w:hAnsi="宋体" w:eastAsia="宋体" w:cs="宋体"/>
          <w:bCs w:val="0"/>
          <w:sz w:val="24"/>
        </w:rPr>
        <w:t>）”的“技术服务机构列表”的“维护保养检测机构”类别的名单中可以查询得到，</w:t>
      </w:r>
      <w:r>
        <w:rPr>
          <w:rStyle w:val="31"/>
          <w:rFonts w:hint="eastAsia" w:ascii="宋体" w:hAnsi="宋体" w:eastAsia="宋体" w:cs="宋体"/>
          <w:sz w:val="24"/>
        </w:rPr>
        <w:t>须提供“</w:t>
      </w:r>
      <w:r>
        <w:rPr>
          <w:rStyle w:val="31"/>
          <w:rFonts w:hint="eastAsia" w:ascii="宋体" w:hAnsi="宋体" w:eastAsia="宋体" w:cs="宋体"/>
          <w:bCs w:val="0"/>
          <w:sz w:val="24"/>
        </w:rPr>
        <w:t>维护保养检测机构</w:t>
      </w:r>
      <w:r>
        <w:rPr>
          <w:rStyle w:val="31"/>
          <w:rFonts w:hint="eastAsia" w:ascii="宋体" w:hAnsi="宋体" w:eastAsia="宋体" w:cs="宋体"/>
          <w:sz w:val="24"/>
        </w:rPr>
        <w:t>”的截图</w:t>
      </w:r>
      <w:r>
        <w:rPr>
          <w:rFonts w:hint="eastAsia" w:ascii="Times New Roman" w:hAnsi="Times New Roman"/>
          <w:color w:val="auto"/>
          <w:sz w:val="24"/>
          <w:highlight w:val="none"/>
        </w:rPr>
        <w:t>。</w:t>
      </w:r>
    </w:p>
    <w:p w14:paraId="31631BF6">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w:t>
      </w:r>
      <w:bookmarkStart w:id="4" w:name="OLE_LINK10"/>
      <w:r>
        <w:rPr>
          <w:rFonts w:hint="eastAsia" w:ascii="宋体" w:hAnsi="宋体"/>
          <w:color w:val="auto"/>
          <w:sz w:val="24"/>
          <w:highlight w:val="none"/>
        </w:rPr>
        <w:t>日。②信用记录查询渠道：信用中国（www.creditchina.gov.cn）、中国政府采购网（www.ccgp.gov.cn）。 ③信用记录的查询：由采购代理机构通过上述网站查询并打印供应商的</w:t>
      </w:r>
      <w:bookmarkEnd w:id="4"/>
      <w:r>
        <w:rPr>
          <w:rFonts w:hint="eastAsia" w:ascii="宋体" w:hAnsi="宋体"/>
          <w:color w:val="auto"/>
          <w:sz w:val="24"/>
          <w:highlight w:val="none"/>
        </w:rPr>
        <w:t>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3AF1CC3C">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0E882E3C">
      <w:pPr>
        <w:spacing w:line="360" w:lineRule="auto"/>
        <w:ind w:firstLine="481"/>
        <w:rPr>
          <w:rFonts w:hint="eastAsia" w:ascii="宋体" w:hAnsi="宋体"/>
          <w:color w:val="auto"/>
          <w:sz w:val="24"/>
          <w:highlight w:val="none"/>
        </w:rPr>
      </w:pPr>
      <w:r>
        <w:rPr>
          <w:rFonts w:hint="eastAsia" w:ascii="宋体" w:hAnsi="宋体"/>
          <w:color w:val="auto"/>
          <w:sz w:val="24"/>
          <w:highlight w:val="none"/>
        </w:rPr>
        <w:t>注：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4B4BDE6">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22243872">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123C82B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62F2F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olor w:val="auto"/>
          <w:kern w:val="0"/>
          <w:sz w:val="24"/>
          <w:highlight w:val="none"/>
          <w:lang w:val="en-US" w:eastAsia="zh-CN"/>
        </w:rPr>
        <w:t>4547</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0AA7C6E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4ED20A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17E60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75B8F8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3D3AC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1179FC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0D4A1FF4">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2FDD8FDF">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福建省莲花服装实业有限责任公司</w:t>
      </w:r>
    </w:p>
    <w:p w14:paraId="79F229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w:t>
      </w:r>
      <w:bookmarkStart w:id="5" w:name="OLE_LINK1"/>
      <w:r>
        <w:rPr>
          <w:rFonts w:hint="eastAsia" w:ascii="宋体" w:hAnsi="宋体"/>
          <w:color w:val="auto"/>
          <w:sz w:val="24"/>
          <w:highlight w:val="none"/>
        </w:rPr>
        <w:t>屿镇新南大道</w:t>
      </w:r>
      <w:bookmarkEnd w:id="5"/>
      <w:r>
        <w:rPr>
          <w:rFonts w:hint="eastAsia" w:ascii="宋体" w:hAnsi="宋体"/>
          <w:color w:val="auto"/>
          <w:sz w:val="24"/>
          <w:highlight w:val="none"/>
        </w:rPr>
        <w:t>156号</w:t>
      </w:r>
      <w:r>
        <w:rPr>
          <w:rFonts w:hint="eastAsia" w:asciiTheme="minorEastAsia" w:hAnsiTheme="minorEastAsia" w:eastAsiaTheme="minorEastAsia" w:cstheme="minorEastAsia"/>
          <w:color w:val="auto"/>
          <w:sz w:val="24"/>
          <w:highlight w:val="none"/>
        </w:rPr>
        <w:t>　</w:t>
      </w:r>
    </w:p>
    <w:p w14:paraId="6A715A9F">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w:t>
      </w:r>
      <w:bookmarkStart w:id="6" w:name="OLE_LINK6"/>
      <w:r>
        <w:rPr>
          <w:rFonts w:hint="eastAsia" w:ascii="宋体" w:hAnsi="宋体"/>
          <w:color w:val="auto"/>
          <w:sz w:val="24"/>
          <w:highlight w:val="none"/>
          <w:lang w:eastAsia="zh-CN"/>
        </w:rPr>
        <w:t>聂先生</w:t>
      </w:r>
      <w:r>
        <w:rPr>
          <w:rFonts w:hint="eastAsia" w:ascii="宋体" w:hAnsi="宋体"/>
          <w:color w:val="auto"/>
          <w:sz w:val="24"/>
          <w:highlight w:val="none"/>
        </w:rPr>
        <w:t>、0591-23506061</w:t>
      </w:r>
      <w:bookmarkEnd w:id="6"/>
    </w:p>
    <w:p w14:paraId="60404A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3FF7AF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5F9169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48968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44D74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欧文浩、田雪丽、蔡海敏</w:t>
      </w:r>
    </w:p>
    <w:p w14:paraId="1D2B53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79290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60076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751A4497">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14:paraId="4AB17CC3">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2A7FBAC9">
      <w:pPr>
        <w:spacing w:line="360" w:lineRule="auto"/>
        <w:rPr>
          <w:color w:val="auto"/>
          <w:highlight w:val="none"/>
        </w:rPr>
      </w:pPr>
    </w:p>
    <w:p w14:paraId="795BF8FF">
      <w:pPr>
        <w:spacing w:line="360" w:lineRule="auto"/>
        <w:rPr>
          <w:color w:val="auto"/>
          <w:highlight w:val="none"/>
        </w:rPr>
      </w:pPr>
      <w:r>
        <w:rPr>
          <w:color w:val="auto"/>
          <w:highlight w:val="none"/>
        </w:rPr>
        <w:br w:type="page"/>
      </w:r>
    </w:p>
    <w:p w14:paraId="6FE5B01D">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5307CEB6">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435FF62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7B358E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1A7DA1CB">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25800F9F">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28443F1">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643BBE63">
      <w:pPr>
        <w:spacing w:line="360" w:lineRule="auto"/>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369AC8F">
      <w:pPr>
        <w:widowControl/>
        <w:spacing w:line="360" w:lineRule="auto"/>
        <w:ind w:firstLine="480" w:firstLineChars="200"/>
        <w:jc w:val="left"/>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6"/>
          <w:rFonts w:ascii="宋体" w:hAnsi="宋体" w:cs="宋体"/>
          <w:color w:val="auto"/>
          <w:sz w:val="24"/>
          <w:highlight w:val="none"/>
        </w:rPr>
        <w:t>http://121.42.9.114:8083/</w:t>
      </w:r>
      <w:r>
        <w:rPr>
          <w:rStyle w:val="26"/>
          <w:rFonts w:ascii="宋体" w:hAnsi="宋体" w:cs="宋体"/>
          <w:color w:val="auto"/>
          <w:sz w:val="24"/>
          <w:highlight w:val="none"/>
        </w:rPr>
        <w:fldChar w:fldCharType="end"/>
      </w:r>
      <w:r>
        <w:rPr>
          <w:rStyle w:val="31"/>
          <w:rFonts w:hint="eastAsia" w:ascii="宋体" w:hAnsi="宋体" w:cs="宋体"/>
          <w:color w:val="auto"/>
          <w:kern w:val="0"/>
          <w:sz w:val="24"/>
          <w:highlight w:val="none"/>
        </w:rPr>
        <w:t>）上进行注册、报名（上传响应文件）、网上竞价等相关操作，具体操作指南详见网上竞</w:t>
      </w:r>
      <w:bookmarkStart w:id="7" w:name="OLE_LINK11"/>
      <w:r>
        <w:rPr>
          <w:rStyle w:val="31"/>
          <w:rFonts w:hint="eastAsia" w:ascii="宋体" w:hAnsi="宋体" w:cs="宋体"/>
          <w:color w:val="auto"/>
          <w:kern w:val="0"/>
          <w:sz w:val="24"/>
          <w:highlight w:val="none"/>
        </w:rPr>
        <w:t>价平台（网址：</w:t>
      </w:r>
      <w:r>
        <w:rPr>
          <w:rStyle w:val="31"/>
          <w:rFonts w:hint="eastAsia" w:ascii="宋体" w:hAnsi="宋体" w:cs="宋体"/>
          <w:color w:val="auto"/>
          <w:kern w:val="0"/>
          <w:sz w:val="24"/>
          <w:highlight w:val="none"/>
          <w:u w:val="single"/>
        </w:rPr>
        <w:t>https://www.jiankunzx.com/yewuliucheng/1608.html</w:t>
      </w:r>
      <w:r>
        <w:rPr>
          <w:rStyle w:val="31"/>
          <w:rFonts w:hint="eastAsia" w:ascii="宋体" w:hAnsi="宋体" w:cs="宋体"/>
          <w:color w:val="auto"/>
          <w:kern w:val="0"/>
          <w:sz w:val="24"/>
          <w:highlight w:val="none"/>
        </w:rPr>
        <w:t>）</w:t>
      </w:r>
      <w:r>
        <w:rPr>
          <w:rStyle w:val="31"/>
          <w:rFonts w:hint="eastAsia" w:ascii="宋体" w:hAnsi="宋体" w:cs="宋体"/>
          <w:b/>
          <w:bCs/>
          <w:color w:val="auto"/>
          <w:kern w:val="0"/>
          <w:sz w:val="24"/>
          <w:highlight w:val="none"/>
        </w:rPr>
        <w:t>。</w:t>
      </w:r>
      <w:r>
        <w:rPr>
          <w:rStyle w:val="31"/>
          <w:rFonts w:hint="eastAsia" w:ascii="宋体" w:hAnsi="宋体" w:cs="宋体"/>
          <w:color w:val="auto"/>
          <w:kern w:val="0"/>
          <w:sz w:val="24"/>
          <w:highlight w:val="none"/>
        </w:rPr>
        <w:t>若实际网上竞价平台操作与操作指南描述不一致的，按实际网上竞价平台系统要求的进行操作，若因供应商操</w:t>
      </w:r>
      <w:bookmarkEnd w:id="7"/>
      <w:r>
        <w:rPr>
          <w:rStyle w:val="31"/>
          <w:rFonts w:hint="eastAsia" w:ascii="宋体" w:hAnsi="宋体" w:cs="宋体"/>
          <w:color w:val="auto"/>
          <w:kern w:val="0"/>
          <w:sz w:val="24"/>
          <w:highlight w:val="none"/>
        </w:rPr>
        <w:t>作不当导致审核不合格或报价无效的，由其自行承担相应后果。</w:t>
      </w:r>
    </w:p>
    <w:p w14:paraId="637DC87E">
      <w:pPr>
        <w:widowControl/>
        <w:spacing w:line="360" w:lineRule="auto"/>
        <w:ind w:firstLine="480" w:firstLineChars="200"/>
        <w:jc w:val="left"/>
        <w:rPr>
          <w:rStyle w:val="31"/>
          <w:rFonts w:hint="eastAsia" w:ascii="宋体" w:hAnsi="宋体" w:cs="宋体"/>
          <w:color w:val="auto"/>
          <w:kern w:val="0"/>
          <w:sz w:val="24"/>
          <w:highlight w:val="none"/>
        </w:rPr>
      </w:pPr>
      <w:r>
        <w:rPr>
          <w:rStyle w:val="31"/>
          <w:rFonts w:hint="eastAsia" w:ascii="宋体" w:hAnsi="宋体" w:cs="宋体"/>
          <w:color w:val="auto"/>
          <w:kern w:val="0"/>
          <w:sz w:val="24"/>
          <w:highlight w:val="none"/>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6B6F0B98">
      <w:pPr>
        <w:pStyle w:val="17"/>
        <w:spacing w:before="75" w:beforeAutospacing="0" w:after="75" w:afterAutospacing="0" w:line="360" w:lineRule="auto"/>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0BE1EF6F">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628B6BF5">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2CAC3810">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1561FE13">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48B6E628">
      <w:pPr>
        <w:spacing w:line="360" w:lineRule="auto"/>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055CD4FD">
      <w:pPr>
        <w:pStyle w:val="17"/>
        <w:spacing w:before="75" w:beforeAutospacing="0" w:after="75" w:afterAutospacing="0" w:line="360" w:lineRule="auto"/>
        <w:ind w:firstLine="480"/>
        <w:rPr>
          <w:rStyle w:val="31"/>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1"/>
          <w:rFonts w:hint="eastAsia" w:ascii="Times New Roman" w:hAnsi="Times New Roman" w:cs="Times New Roman"/>
          <w:b/>
          <w:bCs/>
          <w:color w:val="auto"/>
          <w:sz w:val="24"/>
          <w:highlight w:val="none"/>
        </w:rPr>
        <w:t>（除“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0373451D">
      <w:pPr>
        <w:widowControl/>
        <w:spacing w:line="360" w:lineRule="auto"/>
        <w:ind w:firstLine="480" w:firstLineChars="200"/>
        <w:jc w:val="left"/>
        <w:textAlignment w:val="baseline"/>
        <w:rPr>
          <w:rStyle w:val="31"/>
          <w:rFonts w:ascii="宋体" w:hAnsi="宋体"/>
          <w:color w:val="auto"/>
          <w:kern w:val="0"/>
          <w:sz w:val="24"/>
          <w:highlight w:val="none"/>
        </w:rPr>
      </w:pPr>
      <w:r>
        <w:rPr>
          <w:rStyle w:val="31"/>
          <w:rFonts w:hint="eastAsia" w:ascii="宋体" w:hAnsi="宋体"/>
          <w:color w:val="auto"/>
          <w:kern w:val="0"/>
          <w:sz w:val="24"/>
          <w:highlight w:val="none"/>
        </w:rPr>
        <w:t>2.</w:t>
      </w:r>
      <w:r>
        <w:rPr>
          <w:rStyle w:val="31"/>
          <w:rFonts w:hint="eastAsia" w:ascii="宋体" w:hAnsi="宋体"/>
          <w:kern w:val="0"/>
          <w:sz w:val="24"/>
        </w:rPr>
        <w:t>供应商</w:t>
      </w:r>
      <w:r>
        <w:rPr>
          <w:rStyle w:val="31"/>
          <w:rFonts w:ascii="宋体" w:hAnsi="宋体"/>
          <w:kern w:val="0"/>
          <w:sz w:val="24"/>
        </w:rPr>
        <w:t>首次提交的报价</w:t>
      </w:r>
      <w:r>
        <w:rPr>
          <w:rStyle w:val="31"/>
          <w:rFonts w:hint="eastAsia" w:ascii="宋体" w:hAnsi="宋体"/>
          <w:kern w:val="0"/>
          <w:sz w:val="24"/>
        </w:rPr>
        <w:t>总价</w:t>
      </w:r>
      <w:r>
        <w:rPr>
          <w:rStyle w:val="31"/>
          <w:rFonts w:ascii="宋体" w:hAnsi="宋体"/>
          <w:kern w:val="0"/>
          <w:sz w:val="24"/>
        </w:rPr>
        <w:t>须</w:t>
      </w:r>
      <w:r>
        <w:rPr>
          <w:rStyle w:val="31"/>
          <w:rFonts w:hint="eastAsia" w:ascii="宋体" w:hAnsi="宋体"/>
          <w:kern w:val="0"/>
          <w:sz w:val="24"/>
        </w:rPr>
        <w:t>低于</w:t>
      </w:r>
      <w:r>
        <w:rPr>
          <w:rStyle w:val="31"/>
          <w:rFonts w:ascii="宋体" w:hAnsi="宋体"/>
          <w:kern w:val="0"/>
          <w:sz w:val="24"/>
        </w:rPr>
        <w:t>本项目</w:t>
      </w:r>
      <w:r>
        <w:rPr>
          <w:rStyle w:val="31"/>
          <w:rFonts w:hint="eastAsia" w:ascii="宋体" w:hAnsi="宋体"/>
          <w:kern w:val="0"/>
          <w:sz w:val="24"/>
        </w:rPr>
        <w:t>总价</w:t>
      </w:r>
      <w:r>
        <w:rPr>
          <w:rStyle w:val="31"/>
          <w:rFonts w:ascii="宋体" w:hAnsi="宋体"/>
          <w:kern w:val="0"/>
          <w:sz w:val="24"/>
        </w:rPr>
        <w:t>最高限价</w:t>
      </w:r>
      <w:r>
        <w:rPr>
          <w:rStyle w:val="31"/>
          <w:rFonts w:hint="eastAsia" w:ascii="宋体" w:hAnsi="宋体"/>
          <w:kern w:val="0"/>
          <w:sz w:val="24"/>
        </w:rPr>
        <w:t>的</w:t>
      </w:r>
      <w:r>
        <w:rPr>
          <w:rStyle w:val="31"/>
          <w:rFonts w:ascii="宋体" w:hAnsi="宋体"/>
          <w:kern w:val="0"/>
          <w:sz w:val="24"/>
        </w:rPr>
        <w:t>3%</w:t>
      </w:r>
      <w:r>
        <w:rPr>
          <w:rStyle w:val="31"/>
          <w:rFonts w:hint="eastAsia" w:ascii="宋体" w:hAnsi="宋体"/>
          <w:kern w:val="0"/>
          <w:sz w:val="24"/>
        </w:rPr>
        <w:t>以上（不含</w:t>
      </w:r>
      <w:r>
        <w:rPr>
          <w:rStyle w:val="31"/>
          <w:rFonts w:ascii="宋体" w:hAnsi="宋体"/>
          <w:kern w:val="0"/>
          <w:sz w:val="24"/>
        </w:rPr>
        <w:t>3%</w:t>
      </w:r>
      <w:r>
        <w:rPr>
          <w:rStyle w:val="31"/>
          <w:rFonts w:hint="eastAsia" w:ascii="宋体" w:hAnsi="宋体"/>
          <w:kern w:val="0"/>
          <w:sz w:val="24"/>
        </w:rPr>
        <w:t>）</w:t>
      </w:r>
      <w:r>
        <w:rPr>
          <w:rStyle w:val="31"/>
          <w:rFonts w:ascii="宋体" w:hAnsi="宋体"/>
          <w:kern w:val="0"/>
          <w:sz w:val="24"/>
        </w:rPr>
        <w:t>，否则</w:t>
      </w:r>
      <w:r>
        <w:rPr>
          <w:rStyle w:val="31"/>
          <w:rFonts w:ascii="宋体" w:hAnsi="宋体" w:cs="宋体"/>
          <w:kern w:val="0"/>
          <w:sz w:val="24"/>
        </w:rPr>
        <w:t>视为无效报价</w:t>
      </w:r>
      <w:r>
        <w:rPr>
          <w:rStyle w:val="31"/>
          <w:rFonts w:ascii="宋体" w:hAnsi="宋体"/>
          <w:kern w:val="0"/>
          <w:sz w:val="24"/>
        </w:rPr>
        <w:t>。在</w:t>
      </w:r>
      <w:r>
        <w:rPr>
          <w:rStyle w:val="31"/>
          <w:rFonts w:hint="eastAsia" w:ascii="宋体" w:hAnsi="宋体"/>
          <w:kern w:val="0"/>
          <w:sz w:val="24"/>
        </w:rPr>
        <w:t>网上竞价时间</w:t>
      </w:r>
      <w:r>
        <w:rPr>
          <w:rStyle w:val="31"/>
          <w:rFonts w:ascii="宋体" w:hAnsi="宋体"/>
          <w:kern w:val="0"/>
          <w:sz w:val="24"/>
        </w:rPr>
        <w:t>内</w:t>
      </w:r>
      <w:r>
        <w:rPr>
          <w:rStyle w:val="31"/>
          <w:rFonts w:hint="eastAsia" w:ascii="宋体" w:hAnsi="宋体"/>
          <w:kern w:val="0"/>
          <w:sz w:val="24"/>
        </w:rPr>
        <w:t>、同一供应商有</w:t>
      </w:r>
      <w:r>
        <w:rPr>
          <w:rStyle w:val="31"/>
          <w:rFonts w:ascii="宋体" w:hAnsi="宋体"/>
          <w:kern w:val="0"/>
          <w:sz w:val="24"/>
        </w:rPr>
        <w:t>多次报价的</w:t>
      </w:r>
      <w:r>
        <w:rPr>
          <w:rStyle w:val="31"/>
          <w:rFonts w:hint="eastAsia" w:ascii="宋体" w:hAnsi="宋体"/>
          <w:kern w:val="0"/>
          <w:sz w:val="24"/>
        </w:rPr>
        <w:t>情况下</w:t>
      </w:r>
      <w:r>
        <w:rPr>
          <w:rStyle w:val="31"/>
          <w:rFonts w:ascii="宋体" w:hAnsi="宋体"/>
          <w:kern w:val="0"/>
          <w:sz w:val="24"/>
        </w:rPr>
        <w:t>，</w:t>
      </w:r>
      <w:r>
        <w:rPr>
          <w:rStyle w:val="31"/>
          <w:rFonts w:hint="eastAsia" w:ascii="宋体" w:hAnsi="宋体"/>
          <w:kern w:val="0"/>
          <w:sz w:val="24"/>
        </w:rPr>
        <w:t>则该供应商的每一次</w:t>
      </w:r>
      <w:r>
        <w:rPr>
          <w:rStyle w:val="31"/>
          <w:rFonts w:ascii="宋体" w:hAnsi="宋体"/>
          <w:kern w:val="0"/>
          <w:sz w:val="24"/>
        </w:rPr>
        <w:t>报价金额必须小于自己上一次的报价金额，</w:t>
      </w:r>
      <w:r>
        <w:rPr>
          <w:rStyle w:val="31"/>
          <w:rFonts w:hint="eastAsia" w:ascii="宋体" w:hAnsi="宋体"/>
          <w:kern w:val="0"/>
          <w:sz w:val="24"/>
        </w:rPr>
        <w:t>同时以该供应商</w:t>
      </w:r>
      <w:r>
        <w:rPr>
          <w:rStyle w:val="31"/>
          <w:rFonts w:ascii="宋体" w:hAnsi="宋体"/>
          <w:kern w:val="0"/>
          <w:sz w:val="24"/>
        </w:rPr>
        <w:t>提交的最后一次报价作为</w:t>
      </w:r>
      <w:r>
        <w:rPr>
          <w:rStyle w:val="31"/>
          <w:rFonts w:hint="eastAsia" w:ascii="宋体" w:hAnsi="宋体"/>
          <w:kern w:val="0"/>
          <w:sz w:val="24"/>
        </w:rPr>
        <w:t>其最终有效报价</w:t>
      </w:r>
      <w:r>
        <w:rPr>
          <w:rStyle w:val="31"/>
          <w:rFonts w:ascii="宋体" w:hAnsi="宋体"/>
          <w:kern w:val="0"/>
          <w:sz w:val="24"/>
        </w:rPr>
        <w:t>。</w:t>
      </w:r>
    </w:p>
    <w:p w14:paraId="610E12B4">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7376DC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43375D03">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719A2026">
      <w:pPr>
        <w:widowControl/>
        <w:spacing w:line="360" w:lineRule="auto"/>
        <w:ind w:firstLine="480" w:firstLineChars="200"/>
        <w:jc w:val="left"/>
        <w:textAlignment w:val="baseline"/>
        <w:rPr>
          <w:rStyle w:val="31"/>
          <w:rFonts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03CC3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8A872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highlight w:val="none"/>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13A9CF85">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F4880F4">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2740F359">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8ECA09C">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1DEAF2A1">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08169ED6">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288207E0">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708ED43B">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3F1A7F5B">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AACDC7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839B1E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5.除因不可抗力或网上竞价文件认可的情形以外，成交供应商不与采购人签订合同或不能履约的采购人有权将其列入景弘集团有限公司、福建省监狱管理局及其下属单位自行采购项目黑名单。</w:t>
      </w:r>
    </w:p>
    <w:p w14:paraId="33B2C62D">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122857C">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B190C71">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A0D61B3">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1"/>
          <w:rFonts w:hint="eastAsia"/>
          <w:color w:val="auto"/>
          <w:kern w:val="0"/>
          <w:sz w:val="24"/>
          <w:highlight w:val="none"/>
        </w:rPr>
        <w:t>供应商</w:t>
      </w:r>
      <w:r>
        <w:rPr>
          <w:rFonts w:hint="eastAsia"/>
          <w:color w:val="auto"/>
          <w:kern w:val="2"/>
          <w:highlight w:val="none"/>
        </w:rPr>
        <w:t>假借以他人名义参加竞价或者弄虚作假，骗取成交；</w:t>
      </w:r>
    </w:p>
    <w:p w14:paraId="2D033258">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77F49E02">
      <w:pPr>
        <w:spacing w:line="360" w:lineRule="auto"/>
        <w:jc w:val="center"/>
        <w:rPr>
          <w:rFonts w:ascii="宋体" w:hAnsi="宋体" w:cs="宋体"/>
          <w:b/>
          <w:color w:val="auto"/>
          <w:kern w:val="0"/>
          <w:sz w:val="32"/>
          <w:szCs w:val="32"/>
          <w:highlight w:val="none"/>
        </w:rPr>
      </w:pPr>
    </w:p>
    <w:p w14:paraId="5EBC5804">
      <w:pPr>
        <w:pStyle w:val="7"/>
        <w:spacing w:line="360" w:lineRule="auto"/>
        <w:rPr>
          <w:color w:val="auto"/>
          <w:highlight w:val="none"/>
        </w:rPr>
      </w:pPr>
    </w:p>
    <w:p w14:paraId="410B97E7">
      <w:pPr>
        <w:spacing w:line="360" w:lineRule="auto"/>
        <w:rPr>
          <w:rFonts w:ascii="宋体" w:hAnsi="宋体" w:cs="宋体"/>
          <w:b/>
          <w:color w:val="auto"/>
          <w:kern w:val="0"/>
          <w:sz w:val="32"/>
          <w:szCs w:val="32"/>
          <w:highlight w:val="none"/>
        </w:rPr>
      </w:pPr>
    </w:p>
    <w:p w14:paraId="1AD1D444">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761E8D1">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1"/>
      <w:r>
        <w:rPr>
          <w:rFonts w:hint="eastAsia" w:ascii="宋体" w:hAnsi="宋体" w:cs="宋体"/>
          <w:b/>
          <w:color w:val="auto"/>
          <w:kern w:val="0"/>
          <w:sz w:val="32"/>
          <w:szCs w:val="32"/>
          <w:highlight w:val="none"/>
        </w:rPr>
        <w:t>内容及要求</w:t>
      </w:r>
    </w:p>
    <w:p w14:paraId="2E81601F">
      <w:pPr>
        <w:snapToGrid w:val="0"/>
        <w:spacing w:line="360" w:lineRule="auto"/>
        <w:outlineLvl w:val="1"/>
        <w:rPr>
          <w:rFonts w:ascii="宋体" w:hAnsi="宋体" w:cs="宋体"/>
          <w:b/>
          <w:color w:val="auto"/>
          <w:sz w:val="24"/>
          <w:highlight w:val="none"/>
        </w:rPr>
      </w:pPr>
      <w:bookmarkStart w:id="8" w:name="_Toc359317661"/>
      <w:bookmarkStart w:id="9" w:name="_Toc358016816"/>
      <w:bookmarkStart w:id="10" w:name="_Toc330567034"/>
      <w:bookmarkStart w:id="11" w:name="_Toc346300367"/>
      <w:bookmarkStart w:id="12" w:name="_Toc347060296"/>
      <w:bookmarkStart w:id="13" w:name="_Toc327948617"/>
      <w:r>
        <w:rPr>
          <w:rFonts w:hint="eastAsia" w:ascii="宋体" w:hAnsi="宋体" w:cs="宋体"/>
          <w:b/>
          <w:color w:val="auto"/>
          <w:sz w:val="24"/>
          <w:highlight w:val="none"/>
        </w:rPr>
        <w:t>一、项目概述</w:t>
      </w:r>
      <w:bookmarkEnd w:id="8"/>
      <w:bookmarkEnd w:id="9"/>
    </w:p>
    <w:p w14:paraId="2843BB26">
      <w:pPr>
        <w:pStyle w:val="32"/>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0489860D">
      <w:pPr>
        <w:keepNext w:val="0"/>
        <w:keepLines w:val="0"/>
        <w:pageBreakBefore w:val="0"/>
        <w:widowControl w:val="0"/>
        <w:kinsoku/>
        <w:wordWrap/>
        <w:overflowPunct/>
        <w:topLinePunct w:val="0"/>
        <w:autoSpaceDE/>
        <w:autoSpaceDN/>
        <w:bidi w:val="0"/>
        <w:adjustRightInd/>
        <w:spacing w:line="360" w:lineRule="auto"/>
        <w:jc w:val="right"/>
        <w:textAlignment w:val="auto"/>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232"/>
        <w:gridCol w:w="3825"/>
        <w:gridCol w:w="948"/>
        <w:gridCol w:w="2350"/>
      </w:tblGrid>
      <w:tr w14:paraId="148C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97" w:type="pct"/>
            <w:tcBorders>
              <w:top w:val="single" w:color="auto" w:sz="4" w:space="0"/>
              <w:left w:val="single" w:color="auto" w:sz="4" w:space="0"/>
              <w:bottom w:val="single" w:color="auto" w:sz="4" w:space="0"/>
              <w:right w:val="single" w:color="auto" w:sz="4" w:space="0"/>
            </w:tcBorders>
            <w:vAlign w:val="center"/>
          </w:tcPr>
          <w:p w14:paraId="0CF12F00">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664" w:type="pct"/>
            <w:tcBorders>
              <w:top w:val="single" w:color="auto" w:sz="4" w:space="0"/>
              <w:left w:val="single" w:color="auto" w:sz="4" w:space="0"/>
              <w:bottom w:val="single" w:color="auto" w:sz="4" w:space="0"/>
              <w:right w:val="single" w:color="auto" w:sz="4" w:space="0"/>
            </w:tcBorders>
            <w:vAlign w:val="center"/>
          </w:tcPr>
          <w:p w14:paraId="5B0CB3E8">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060" w:type="pct"/>
            <w:tcBorders>
              <w:top w:val="single" w:color="auto" w:sz="4" w:space="0"/>
              <w:left w:val="single" w:color="auto" w:sz="4" w:space="0"/>
              <w:bottom w:val="single" w:color="auto" w:sz="4" w:space="0"/>
              <w:right w:val="single" w:color="auto" w:sz="4" w:space="0"/>
            </w:tcBorders>
            <w:vAlign w:val="center"/>
          </w:tcPr>
          <w:p w14:paraId="4F355A4E">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511" w:type="pct"/>
            <w:tcBorders>
              <w:top w:val="single" w:color="auto" w:sz="4" w:space="0"/>
              <w:left w:val="single" w:color="auto" w:sz="4" w:space="0"/>
              <w:bottom w:val="single" w:color="auto" w:sz="4" w:space="0"/>
              <w:right w:val="single" w:color="auto" w:sz="4" w:space="0"/>
            </w:tcBorders>
            <w:vAlign w:val="center"/>
          </w:tcPr>
          <w:p w14:paraId="539CED00">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266" w:type="pct"/>
            <w:tcBorders>
              <w:top w:val="single" w:color="auto" w:sz="4" w:space="0"/>
              <w:left w:val="single" w:color="auto" w:sz="4" w:space="0"/>
              <w:bottom w:val="single" w:color="auto" w:sz="4" w:space="0"/>
              <w:right w:val="single" w:color="auto" w:sz="4" w:space="0"/>
            </w:tcBorders>
            <w:vAlign w:val="center"/>
          </w:tcPr>
          <w:p w14:paraId="504F25A4">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2486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7" w:type="pct"/>
            <w:tcBorders>
              <w:top w:val="single" w:color="auto" w:sz="4" w:space="0"/>
              <w:left w:val="single" w:color="auto" w:sz="4" w:space="0"/>
              <w:right w:val="single" w:color="auto" w:sz="4" w:space="0"/>
            </w:tcBorders>
            <w:vAlign w:val="center"/>
          </w:tcPr>
          <w:p w14:paraId="217F03DB">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664" w:type="pct"/>
            <w:tcBorders>
              <w:top w:val="single" w:color="auto" w:sz="4" w:space="0"/>
              <w:left w:val="single" w:color="auto" w:sz="4" w:space="0"/>
              <w:bottom w:val="single" w:color="auto" w:sz="4" w:space="0"/>
              <w:right w:val="single" w:color="auto" w:sz="4" w:space="0"/>
            </w:tcBorders>
            <w:vAlign w:val="center"/>
          </w:tcPr>
          <w:p w14:paraId="15610F2B">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2060" w:type="pct"/>
            <w:tcBorders>
              <w:top w:val="single" w:color="auto" w:sz="4" w:space="0"/>
              <w:left w:val="single" w:color="auto" w:sz="4" w:space="0"/>
              <w:bottom w:val="single" w:color="auto" w:sz="4" w:space="0"/>
              <w:right w:val="single" w:color="auto" w:sz="4" w:space="0"/>
            </w:tcBorders>
            <w:vAlign w:val="center"/>
          </w:tcPr>
          <w:p w14:paraId="438783A8">
            <w:pPr>
              <w:widowControl/>
              <w:spacing w:line="360" w:lineRule="auto"/>
              <w:jc w:val="center"/>
              <w:textAlignment w:val="center"/>
              <w:rPr>
                <w:rFonts w:ascii="宋体" w:hAnsi="宋体" w:cs="宋体"/>
                <w:color w:val="auto"/>
                <w:kern w:val="0"/>
                <w:sz w:val="24"/>
                <w:highlight w:val="none"/>
              </w:rPr>
            </w:pPr>
            <w:r>
              <w:rPr>
                <w:rFonts w:hint="eastAsia" w:cs="宋体"/>
                <w:b w:val="0"/>
                <w:bCs/>
                <w:color w:val="auto"/>
                <w:sz w:val="24"/>
                <w:highlight w:val="none"/>
                <w:lang w:eastAsia="zh-CN"/>
              </w:rPr>
              <w:t>消控维保服务</w:t>
            </w:r>
          </w:p>
        </w:tc>
        <w:tc>
          <w:tcPr>
            <w:tcW w:w="511" w:type="pct"/>
            <w:tcBorders>
              <w:top w:val="single" w:color="auto" w:sz="4" w:space="0"/>
              <w:left w:val="single" w:color="auto" w:sz="4" w:space="0"/>
              <w:right w:val="single" w:color="auto" w:sz="4" w:space="0"/>
            </w:tcBorders>
            <w:vAlign w:val="center"/>
          </w:tcPr>
          <w:p w14:paraId="5EEA4809">
            <w:pPr>
              <w:widowControl/>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2年</w:t>
            </w:r>
          </w:p>
        </w:tc>
        <w:tc>
          <w:tcPr>
            <w:tcW w:w="1266" w:type="pct"/>
            <w:tcBorders>
              <w:top w:val="single" w:color="auto" w:sz="4" w:space="0"/>
              <w:left w:val="single" w:color="auto" w:sz="4" w:space="0"/>
              <w:bottom w:val="single" w:color="auto" w:sz="4" w:space="0"/>
              <w:right w:val="single" w:color="auto" w:sz="4" w:space="0"/>
            </w:tcBorders>
            <w:vAlign w:val="center"/>
          </w:tcPr>
          <w:p w14:paraId="230CD4B8">
            <w:pPr>
              <w:widowControl/>
              <w:spacing w:line="360" w:lineRule="auto"/>
              <w:jc w:val="center"/>
              <w:textAlignment w:val="center"/>
              <w:rPr>
                <w:rFonts w:ascii="宋体" w:hAnsi="宋体" w:cs="新宋体"/>
                <w:color w:val="auto"/>
                <w:kern w:val="0"/>
                <w:sz w:val="24"/>
                <w:highlight w:val="none"/>
              </w:rPr>
            </w:pPr>
            <w:r>
              <w:rPr>
                <w:rFonts w:hint="eastAsia" w:ascii="宋体" w:hAnsi="宋体" w:cs="宋体"/>
                <w:color w:val="auto"/>
                <w:kern w:val="0"/>
                <w:sz w:val="24"/>
                <w:highlight w:val="none"/>
                <w:lang w:val="en-US" w:eastAsia="zh-CN"/>
              </w:rPr>
              <w:t>454784</w:t>
            </w:r>
          </w:p>
        </w:tc>
      </w:tr>
      <w:tr w14:paraId="7260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22" w:type="pct"/>
            <w:gridSpan w:val="3"/>
            <w:tcBorders>
              <w:top w:val="single" w:color="auto" w:sz="4" w:space="0"/>
              <w:left w:val="single" w:color="auto" w:sz="4" w:space="0"/>
              <w:bottom w:val="single" w:color="auto" w:sz="4" w:space="0"/>
              <w:right w:val="single" w:color="auto" w:sz="4" w:space="0"/>
            </w:tcBorders>
            <w:vAlign w:val="center"/>
          </w:tcPr>
          <w:p w14:paraId="4E231113">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肆拾伍万肆仟柒佰捌拾肆</w:t>
            </w:r>
            <w:r>
              <w:rPr>
                <w:rFonts w:hint="eastAsia" w:ascii="宋体" w:hAnsi="宋体"/>
                <w:color w:val="auto"/>
                <w:kern w:val="0"/>
                <w:sz w:val="24"/>
                <w:highlight w:val="none"/>
              </w:rPr>
              <w:t xml:space="preserve">元整     </w:t>
            </w:r>
          </w:p>
        </w:tc>
        <w:tc>
          <w:tcPr>
            <w:tcW w:w="1777" w:type="pct"/>
            <w:gridSpan w:val="2"/>
            <w:tcBorders>
              <w:top w:val="single" w:color="auto" w:sz="4" w:space="0"/>
              <w:left w:val="single" w:color="auto" w:sz="4" w:space="0"/>
              <w:bottom w:val="single" w:color="auto" w:sz="4" w:space="0"/>
              <w:right w:val="single" w:color="auto" w:sz="4" w:space="0"/>
            </w:tcBorders>
            <w:vAlign w:val="center"/>
          </w:tcPr>
          <w:p w14:paraId="2CD9ECD8">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454784</w:t>
            </w:r>
            <w:r>
              <w:rPr>
                <w:rFonts w:hint="eastAsia" w:ascii="宋体" w:hAnsi="宋体"/>
                <w:color w:val="auto"/>
                <w:kern w:val="0"/>
                <w:sz w:val="24"/>
                <w:highlight w:val="none"/>
              </w:rPr>
              <w:t>.00</w:t>
            </w:r>
            <w:r>
              <w:rPr>
                <w:rFonts w:hint="eastAsia" w:ascii="宋体" w:hAnsi="宋体" w:cs="新宋体"/>
                <w:color w:val="auto"/>
                <w:kern w:val="0"/>
                <w:sz w:val="24"/>
                <w:highlight w:val="none"/>
              </w:rPr>
              <w:t xml:space="preserve">   </w:t>
            </w:r>
          </w:p>
        </w:tc>
      </w:tr>
    </w:tbl>
    <w:p w14:paraId="5EFFBE25">
      <w:pPr>
        <w:pStyle w:val="6"/>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4DCEE377">
      <w:pPr>
        <w:pStyle w:val="6"/>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消控维保服务采购项目</w:t>
      </w:r>
      <w:r>
        <w:rPr>
          <w:rFonts w:hint="eastAsia" w:cs="宋体"/>
          <w:b w:val="0"/>
          <w:bCs/>
          <w:color w:val="auto"/>
          <w:sz w:val="24"/>
          <w:highlight w:val="none"/>
        </w:rPr>
        <w:t>。要求供应商根据本网上竞价文件提出的技术要求对所需技术服务等进行报价。</w:t>
      </w:r>
    </w:p>
    <w:p w14:paraId="6D2D7735">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技术要求更高的服务参加报价，并列出详细技术参数偏离表。本项目不允许负偏离。</w:t>
      </w:r>
    </w:p>
    <w:p w14:paraId="1D655883">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5.本项目采用包干制,供应商应以本项目所涉及的有关项目的所有费用进行报价，包括但不限于：员工工资、员工五险一金、法定假日补贴、通讯费、低值易耗品、工具配备费用、意外险、器械费、车辆费用、伙食费、不可预见费、行政管理费、税费等一切费用。合同价在合同履行期间不作任何调整，任何计算错误皆视为已获双方接受，合同价亦不会因人工、物价、政策或汇率等变动而作任何调整。除合同价外，采购人不再支付任何费用。</w:t>
      </w:r>
    </w:p>
    <w:p w14:paraId="4242EB5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bCs/>
          <w:color w:val="auto"/>
          <w:sz w:val="24"/>
          <w:highlight w:val="none"/>
        </w:rPr>
      </w:pPr>
    </w:p>
    <w:p w14:paraId="30424ED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14:paraId="5F33D67A">
      <w:pPr>
        <w:keepNext w:val="0"/>
        <w:keepLines w:val="0"/>
        <w:pageBreakBefore w:val="0"/>
        <w:numPr>
          <w:ilvl w:val="0"/>
          <w:numId w:val="0"/>
        </w:numPr>
        <w:tabs>
          <w:tab w:val="left" w:pos="31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lang w:val="en-US" w:eastAsia="zh-CN"/>
        </w:rPr>
      </w:pPr>
      <w:r>
        <w:rPr>
          <w:rFonts w:hint="eastAsia" w:ascii="宋体" w:hAnsi="宋体" w:eastAsia="宋体" w:cs="宋体"/>
          <w:b w:val="0"/>
          <w:bCs w:val="0"/>
          <w:sz w:val="24"/>
          <w:lang w:val="en-US" w:eastAsia="zh-CN"/>
        </w:rPr>
        <w:t>（一）</w:t>
      </w:r>
      <w:r>
        <w:rPr>
          <w:rFonts w:hint="eastAsia" w:ascii="宋体" w:hAnsi="宋体" w:eastAsia="宋体" w:cs="宋体"/>
          <w:b/>
          <w:bCs w:val="0"/>
          <w:sz w:val="24"/>
          <w:lang w:val="en-US" w:eastAsia="zh-CN"/>
        </w:rPr>
        <w:t>维护保养内容（</w:t>
      </w:r>
      <w:r>
        <w:rPr>
          <w:rFonts w:hint="eastAsia" w:ascii="宋体" w:hAnsi="宋体" w:eastAsia="宋体" w:cs="宋体"/>
          <w:b/>
          <w:sz w:val="24"/>
        </w:rPr>
        <w:t>包含但不限于</w:t>
      </w:r>
      <w:r>
        <w:rPr>
          <w:rFonts w:hint="eastAsia" w:ascii="宋体" w:hAnsi="宋体" w:eastAsia="宋体" w:cs="宋体"/>
          <w:b/>
          <w:sz w:val="24"/>
          <w:lang w:eastAsia="zh-CN"/>
        </w:rPr>
        <w:t>以下内容）</w:t>
      </w:r>
    </w:p>
    <w:p w14:paraId="3B5D2A6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rPr>
      </w:pPr>
      <w:r>
        <w:rPr>
          <w:rStyle w:val="24"/>
          <w:rFonts w:hint="eastAsia"/>
          <w:b w:val="0"/>
          <w:lang w:val="en-US" w:eastAsia="zh-CN"/>
        </w:rPr>
        <w:t>1.</w:t>
      </w:r>
      <w:r>
        <w:rPr>
          <w:rStyle w:val="24"/>
          <w:rFonts w:hint="eastAsia" w:ascii="宋体" w:hAnsi="宋体"/>
          <w:b w:val="0"/>
        </w:rPr>
        <w:t>火灾报警及联动控制系统</w:t>
      </w:r>
      <w:r>
        <w:rPr>
          <w:rFonts w:hint="eastAsia" w:ascii="宋体" w:hAnsi="宋体" w:cs="宋体"/>
        </w:rPr>
        <w:t>(主要包括火灾报警控制器、通讯控制柜、感烟探测器、感温探测器、手动报警按钮、警铃等)； </w:t>
      </w:r>
    </w:p>
    <w:p w14:paraId="5D02358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rPr>
      </w:pPr>
      <w:r>
        <w:rPr>
          <w:rStyle w:val="24"/>
          <w:rFonts w:hint="eastAsia"/>
          <w:b w:val="0"/>
          <w:lang w:val="en-US" w:eastAsia="zh-CN"/>
        </w:rPr>
        <w:t>2.</w:t>
      </w:r>
      <w:r>
        <w:rPr>
          <w:rStyle w:val="24"/>
          <w:rFonts w:hint="eastAsia" w:ascii="宋体" w:hAnsi="宋体"/>
          <w:b w:val="0"/>
        </w:rPr>
        <w:t>消防给水系统</w:t>
      </w:r>
      <w:r>
        <w:rPr>
          <w:rFonts w:hint="eastAsia" w:ascii="宋体" w:hAnsi="宋体" w:cs="宋体"/>
        </w:rPr>
        <w:t>（主要包括：室内消火栓、室外消火栓、消防水泵、水泵接合器、消防水池、浮球阀、屋顶水箱、管道阀门、管网等）； </w:t>
      </w:r>
    </w:p>
    <w:p w14:paraId="1518F76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rPr>
      </w:pPr>
      <w:r>
        <w:rPr>
          <w:rStyle w:val="24"/>
          <w:rFonts w:hint="eastAsia"/>
          <w:b w:val="0"/>
          <w:lang w:val="en-US" w:eastAsia="zh-CN"/>
        </w:rPr>
        <w:t>3.</w:t>
      </w:r>
      <w:r>
        <w:rPr>
          <w:rStyle w:val="24"/>
          <w:rFonts w:hint="eastAsia" w:ascii="宋体" w:hAnsi="宋体"/>
          <w:b w:val="0"/>
        </w:rPr>
        <w:t>自动喷水灭火系统</w:t>
      </w:r>
      <w:r>
        <w:rPr>
          <w:rFonts w:hint="eastAsia" w:ascii="宋体" w:hAnsi="宋体" w:cs="宋体"/>
        </w:rPr>
        <w:t>（主要包括：水灭火系统控制柜、喷洒头、湿式报警阀、水流指示器、压力开关、水泵、管道阀门、管网、水力警铃等）； </w:t>
      </w:r>
    </w:p>
    <w:p w14:paraId="1E2B65A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rPr>
      </w:pPr>
      <w:r>
        <w:rPr>
          <w:rStyle w:val="24"/>
          <w:rFonts w:hint="eastAsia"/>
          <w:b w:val="0"/>
          <w:lang w:val="en-US" w:eastAsia="zh-CN"/>
        </w:rPr>
        <w:t>4.</w:t>
      </w:r>
      <w:r>
        <w:rPr>
          <w:rStyle w:val="24"/>
          <w:rFonts w:hint="eastAsia" w:ascii="宋体" w:hAnsi="宋体"/>
          <w:b w:val="0"/>
        </w:rPr>
        <w:t>气体灭火系统</w:t>
      </w:r>
      <w:r>
        <w:rPr>
          <w:rFonts w:hint="eastAsia" w:ascii="宋体" w:hAnsi="宋体" w:cs="宋体"/>
        </w:rPr>
        <w:t>（主要包括CO2气体灭火系统，七氟丙烷气体灭火系统等）；</w:t>
      </w:r>
    </w:p>
    <w:p w14:paraId="32006CA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rPr>
      </w:pPr>
      <w:r>
        <w:rPr>
          <w:rStyle w:val="24"/>
          <w:rFonts w:hint="eastAsia"/>
          <w:b w:val="0"/>
          <w:lang w:val="en-US" w:eastAsia="zh-CN"/>
        </w:rPr>
        <w:t>5.</w:t>
      </w:r>
      <w:r>
        <w:rPr>
          <w:rStyle w:val="24"/>
          <w:rFonts w:hint="eastAsia" w:ascii="宋体" w:hAnsi="宋体"/>
          <w:b w:val="0"/>
        </w:rPr>
        <w:t>防排烟及联动系统（主要</w:t>
      </w:r>
      <w:r>
        <w:rPr>
          <w:rFonts w:hint="eastAsia" w:ascii="宋体" w:hAnsi="宋体" w:cs="宋体"/>
        </w:rPr>
        <w:t>包括：防排烟阀、防排烟风机、电控箱等）</w:t>
      </w:r>
    </w:p>
    <w:p w14:paraId="66BF64C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b w:val="0"/>
          <w:bCs w:val="0"/>
        </w:rPr>
      </w:pPr>
      <w:r>
        <w:rPr>
          <w:rStyle w:val="24"/>
          <w:rFonts w:hint="eastAsia"/>
          <w:b w:val="0"/>
          <w:bCs w:val="0"/>
          <w:lang w:val="en-US" w:eastAsia="zh-CN"/>
        </w:rPr>
        <w:t>6.</w:t>
      </w:r>
      <w:r>
        <w:rPr>
          <w:rStyle w:val="24"/>
          <w:rFonts w:hint="eastAsia" w:ascii="宋体" w:hAnsi="宋体"/>
          <w:b w:val="0"/>
          <w:bCs w:val="0"/>
        </w:rPr>
        <w:t>应急照明和疏散指示标志</w:t>
      </w:r>
      <w:r>
        <w:rPr>
          <w:rFonts w:hint="eastAsia" w:ascii="宋体" w:hAnsi="宋体" w:cs="宋体"/>
          <w:b w:val="0"/>
          <w:bCs w:val="0"/>
        </w:rPr>
        <w:t>（主要包括应急照明电源、应急照明灯，疏散指示牌等）；</w:t>
      </w:r>
      <w:r>
        <w:rPr>
          <w:rStyle w:val="24"/>
          <w:rFonts w:hint="eastAsia" w:ascii="宋体" w:hAnsi="宋体"/>
          <w:b w:val="0"/>
          <w:bCs w:val="0"/>
        </w:rPr>
        <w:t> </w:t>
      </w:r>
    </w:p>
    <w:p w14:paraId="5C44B06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b w:val="0"/>
          <w:bCs w:val="0"/>
        </w:rPr>
      </w:pPr>
      <w:r>
        <w:rPr>
          <w:rStyle w:val="24"/>
          <w:rFonts w:hint="eastAsia"/>
          <w:b w:val="0"/>
          <w:bCs w:val="0"/>
          <w:lang w:val="en-US" w:eastAsia="zh-CN"/>
        </w:rPr>
        <w:t>7.</w:t>
      </w:r>
      <w:r>
        <w:rPr>
          <w:rStyle w:val="24"/>
          <w:rFonts w:hint="eastAsia" w:ascii="宋体" w:hAnsi="宋体"/>
          <w:b w:val="0"/>
          <w:bCs w:val="0"/>
        </w:rPr>
        <w:t>防火分隔设施</w:t>
      </w:r>
      <w:r>
        <w:rPr>
          <w:rFonts w:hint="eastAsia" w:ascii="宋体" w:hAnsi="宋体" w:cs="宋体"/>
          <w:b w:val="0"/>
          <w:bCs w:val="0"/>
        </w:rPr>
        <w:t>（主要包括：防火卷帘门，卷帘门控制箱、电机、限位器、帘片、按钮盒等）；</w:t>
      </w:r>
    </w:p>
    <w:p w14:paraId="07F39D4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24"/>
          <w:b w:val="0"/>
          <w:bCs w:val="0"/>
        </w:rPr>
      </w:pPr>
      <w:r>
        <w:rPr>
          <w:rStyle w:val="24"/>
          <w:rFonts w:hint="eastAsia"/>
          <w:b w:val="0"/>
          <w:bCs w:val="0"/>
          <w:lang w:val="en-US" w:eastAsia="zh-CN"/>
        </w:rPr>
        <w:t>8.</w:t>
      </w:r>
      <w:r>
        <w:rPr>
          <w:rStyle w:val="24"/>
          <w:rFonts w:hint="eastAsia" w:ascii="宋体" w:hAnsi="宋体"/>
          <w:b w:val="0"/>
          <w:bCs w:val="0"/>
        </w:rPr>
        <w:t>应急广播系统</w:t>
      </w:r>
      <w:r>
        <w:rPr>
          <w:rFonts w:hint="eastAsia"/>
          <w:b w:val="0"/>
          <w:bCs w:val="0"/>
        </w:rPr>
        <w:t>（</w:t>
      </w:r>
      <w:r>
        <w:rPr>
          <w:rFonts w:hint="eastAsia" w:ascii="宋体" w:hAnsi="宋体" w:cs="宋体"/>
          <w:b w:val="0"/>
          <w:bCs w:val="0"/>
        </w:rPr>
        <w:t>主要包括广播喇叭，话筒，消防电话等）</w:t>
      </w:r>
      <w:r>
        <w:rPr>
          <w:rStyle w:val="24"/>
          <w:rFonts w:hint="eastAsia"/>
          <w:b w:val="0"/>
          <w:bCs w:val="0"/>
        </w:rPr>
        <w:t>；</w:t>
      </w:r>
    </w:p>
    <w:p w14:paraId="1818D33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b w:val="0"/>
          <w:bCs w:val="0"/>
        </w:rPr>
      </w:pPr>
      <w:r>
        <w:rPr>
          <w:rStyle w:val="24"/>
          <w:rFonts w:hint="eastAsia"/>
          <w:b w:val="0"/>
          <w:bCs w:val="0"/>
          <w:lang w:val="en-US" w:eastAsia="zh-CN"/>
        </w:rPr>
        <w:t>9.</w:t>
      </w:r>
      <w:r>
        <w:rPr>
          <w:b w:val="0"/>
          <w:bCs w:val="0"/>
        </w:rPr>
        <w:t xml:space="preserve"> CRT</w:t>
      </w:r>
      <w:r>
        <w:rPr>
          <w:rFonts w:hint="eastAsia"/>
          <w:b w:val="0"/>
          <w:bCs w:val="0"/>
        </w:rPr>
        <w:t>图形显示系统（主要包括电脑主机、显示器、火灾自动报警及消防联动控制系统操作软件）。</w:t>
      </w:r>
    </w:p>
    <w:p w14:paraId="6C683DF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textAlignment w:val="auto"/>
        <w:rPr>
          <w:rFonts w:ascii="宋体" w:hAnsi="宋体" w:cs="宋体"/>
          <w:b/>
        </w:rPr>
      </w:pPr>
      <w:r>
        <w:rPr>
          <w:rFonts w:hint="eastAsia" w:ascii="宋体" w:hAnsi="宋体" w:eastAsia="宋体" w:cs="宋体"/>
          <w:b w:val="0"/>
          <w:bCs w:val="0"/>
          <w:sz w:val="24"/>
          <w:lang w:val="en-US" w:eastAsia="zh-CN"/>
        </w:rPr>
        <w:t>（二）</w:t>
      </w:r>
      <w:r>
        <w:rPr>
          <w:rFonts w:hint="eastAsia" w:ascii="宋体" w:hAnsi="宋体" w:cs="宋体"/>
          <w:b/>
        </w:rPr>
        <w:t>技术和服务要求</w:t>
      </w:r>
    </w:p>
    <w:p w14:paraId="3BA56FD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cs="宋体"/>
          <w:lang w:eastAsia="zh-CN"/>
        </w:rPr>
        <w:t>成交供应商</w:t>
      </w:r>
      <w:r>
        <w:rPr>
          <w:rFonts w:hint="eastAsia" w:ascii="宋体" w:hAnsi="宋体" w:cs="宋体"/>
        </w:rPr>
        <w:t>应按公安消防部门颁布的“消防系统维保记录表”中的技术要求和内容以及维护保养内容及技术要求规定的维保周期和技术标准完成</w:t>
      </w:r>
      <w:r>
        <w:rPr>
          <w:rFonts w:hint="eastAsia" w:cs="宋体"/>
          <w:lang w:eastAsia="zh-CN"/>
        </w:rPr>
        <w:t>采购人</w:t>
      </w:r>
      <w:r>
        <w:rPr>
          <w:rFonts w:hint="eastAsia" w:ascii="宋体" w:hAnsi="宋体" w:cs="宋体"/>
        </w:rPr>
        <w:t>的消防系统维保工作，并根据</w:t>
      </w:r>
      <w:r>
        <w:rPr>
          <w:rFonts w:hint="eastAsia" w:cs="宋体"/>
          <w:lang w:eastAsia="zh-CN"/>
        </w:rPr>
        <w:t>采购人</w:t>
      </w:r>
      <w:r>
        <w:rPr>
          <w:rFonts w:hint="eastAsia" w:ascii="宋体" w:hAnsi="宋体" w:cs="宋体"/>
        </w:rPr>
        <w:t>要求提交准确而完整的维保记录表和维保报告给</w:t>
      </w:r>
      <w:r>
        <w:rPr>
          <w:rFonts w:hint="eastAsia" w:cs="宋体"/>
          <w:lang w:eastAsia="zh-CN"/>
        </w:rPr>
        <w:t>采购人</w:t>
      </w:r>
      <w:r>
        <w:rPr>
          <w:rFonts w:hint="eastAsia" w:ascii="宋体" w:hAnsi="宋体" w:cs="宋体"/>
        </w:rPr>
        <w:t>的消防负责人员审核并签字确认。</w:t>
      </w:r>
    </w:p>
    <w:p w14:paraId="61DBD39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cs="宋体"/>
          <w:lang w:eastAsia="zh-CN"/>
        </w:rPr>
        <w:t>成交供应商</w:t>
      </w:r>
      <w:r>
        <w:rPr>
          <w:rFonts w:hint="eastAsia" w:ascii="宋体" w:hAnsi="宋体" w:cs="宋体"/>
        </w:rPr>
        <w:t>需根据维护保养内容及技术要求、“消防系统维保记录表”的内容认真履行职责（当本技术要求与“消防系统维保记录表”中的技术要求和内容有不一致时，以“消防系统维保记录表”优先）并提供维保服务，确保场所内所有消防设施的正常运行，并在设备发生故障的情况下能够及时组织专业人员进行维修以及突发事件的应急响应。另外，</w:t>
      </w:r>
      <w:r>
        <w:rPr>
          <w:rFonts w:hint="eastAsia" w:cs="宋体"/>
          <w:lang w:eastAsia="zh-CN"/>
        </w:rPr>
        <w:t>成交供应商</w:t>
      </w:r>
      <w:r>
        <w:rPr>
          <w:rFonts w:hint="eastAsia" w:ascii="宋体" w:hAnsi="宋体" w:cs="宋体"/>
        </w:rPr>
        <w:t>需遵守</w:t>
      </w:r>
      <w:r>
        <w:rPr>
          <w:rFonts w:hint="eastAsia" w:cs="宋体"/>
          <w:lang w:eastAsia="zh-CN"/>
        </w:rPr>
        <w:t>采购人</w:t>
      </w:r>
      <w:r>
        <w:rPr>
          <w:rFonts w:hint="eastAsia" w:ascii="宋体" w:hAnsi="宋体" w:cs="宋体"/>
        </w:rPr>
        <w:t>所有的规章制度和管理体系的要求，履行</w:t>
      </w:r>
      <w:r>
        <w:rPr>
          <w:rFonts w:hint="eastAsia" w:cs="宋体"/>
          <w:lang w:eastAsia="zh-CN"/>
        </w:rPr>
        <w:t>采购人</w:t>
      </w:r>
      <w:r>
        <w:rPr>
          <w:rFonts w:hint="eastAsia" w:ascii="宋体" w:hAnsi="宋体" w:cs="宋体"/>
        </w:rPr>
        <w:t>对</w:t>
      </w:r>
      <w:r>
        <w:rPr>
          <w:rFonts w:hint="eastAsia" w:cs="宋体"/>
          <w:lang w:eastAsia="zh-CN"/>
        </w:rPr>
        <w:t>成交供应商</w:t>
      </w:r>
      <w:r>
        <w:rPr>
          <w:rFonts w:hint="eastAsia" w:ascii="宋体" w:hAnsi="宋体" w:cs="宋体"/>
        </w:rPr>
        <w:t>规定的义务，加强在物料、成本、培训方面的管理。同时须严格按照以下规范及国家规定（如以下规范被修订或更新等，则应以最新版本为准）对消防系统进行验收交接和维修保养： </w:t>
      </w:r>
    </w:p>
    <w:p w14:paraId="733F037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1.1 《建筑设计防火规范》 GB50016-201</w:t>
      </w:r>
      <w:r>
        <w:rPr>
          <w:rFonts w:hint="eastAsia" w:cs="宋体"/>
          <w:lang w:val="en-US" w:eastAsia="zh-CN"/>
        </w:rPr>
        <w:t>4</w:t>
      </w:r>
      <w:r>
        <w:rPr>
          <w:rFonts w:hint="eastAsia" w:ascii="宋体" w:hAnsi="宋体" w:cs="宋体"/>
        </w:rPr>
        <w:t>；</w:t>
      </w:r>
    </w:p>
    <w:p w14:paraId="2C862EF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1.2 《建筑消防设施的维护管理》GB25201-2010；</w:t>
      </w:r>
    </w:p>
    <w:p w14:paraId="51BAD0A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1.3 《建筑消防设施检测技术规程》G</w:t>
      </w:r>
      <w:r>
        <w:rPr>
          <w:rFonts w:hint="eastAsia" w:cs="宋体"/>
          <w:lang w:val="en-US" w:eastAsia="zh-CN"/>
        </w:rPr>
        <w:t>B/T44481-2024</w:t>
      </w:r>
      <w:r>
        <w:rPr>
          <w:rFonts w:hint="eastAsia" w:ascii="宋体" w:hAnsi="宋体" w:cs="宋体"/>
        </w:rPr>
        <w:t>；</w:t>
      </w:r>
    </w:p>
    <w:p w14:paraId="1658865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1.4 《火灾自动报警系统施工及验收规范》GB50166-20</w:t>
      </w:r>
      <w:r>
        <w:rPr>
          <w:rFonts w:hint="eastAsia" w:cs="宋体"/>
          <w:lang w:val="en-US" w:eastAsia="zh-CN"/>
        </w:rPr>
        <w:t>19</w:t>
      </w:r>
      <w:r>
        <w:rPr>
          <w:rFonts w:hint="eastAsia" w:ascii="宋体" w:hAnsi="宋体" w:cs="宋体"/>
        </w:rPr>
        <w:t>；</w:t>
      </w:r>
    </w:p>
    <w:p w14:paraId="2CE6C50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1.5 《气体灭火系统施工及验收规范》GB50263-2007；</w:t>
      </w:r>
    </w:p>
    <w:p w14:paraId="6B2C603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1.6 《自动喷水灭火系统施工及验收规范》GB50261-</w:t>
      </w:r>
      <w:r>
        <w:rPr>
          <w:rFonts w:hint="eastAsia" w:cs="宋体"/>
          <w:lang w:val="en-US" w:eastAsia="zh-CN"/>
        </w:rPr>
        <w:t>2017</w:t>
      </w:r>
      <w:r>
        <w:rPr>
          <w:rFonts w:hint="eastAsia" w:ascii="宋体" w:hAnsi="宋体" w:cs="宋体"/>
        </w:rPr>
        <w:t>；</w:t>
      </w:r>
    </w:p>
    <w:p w14:paraId="112603F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1.7 《压缩机、风机、泵安装施工及验收规范》GB50275-2010；</w:t>
      </w:r>
    </w:p>
    <w:p w14:paraId="4F53488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1.8 《</w:t>
      </w:r>
      <w:r>
        <w:rPr>
          <w:rFonts w:hint="eastAsia"/>
          <w:lang w:eastAsia="zh-CN"/>
        </w:rPr>
        <w:t>工业金属管道工程施工规范</w:t>
      </w:r>
      <w:r>
        <w:rPr>
          <w:rFonts w:hint="eastAsia" w:ascii="宋体" w:hAnsi="宋体" w:cs="宋体"/>
        </w:rPr>
        <w:t>》GB50235-</w:t>
      </w:r>
      <w:r>
        <w:rPr>
          <w:rFonts w:hint="eastAsia" w:cs="宋体"/>
          <w:lang w:val="en-US" w:eastAsia="zh-CN"/>
        </w:rPr>
        <w:t>2010</w:t>
      </w:r>
      <w:r>
        <w:rPr>
          <w:rFonts w:hint="eastAsia" w:ascii="宋体" w:hAnsi="宋体" w:cs="宋体"/>
        </w:rPr>
        <w:t>；</w:t>
      </w:r>
    </w:p>
    <w:p w14:paraId="7C186D3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1.9 《</w:t>
      </w:r>
      <w:r>
        <w:rPr>
          <w:rFonts w:hint="eastAsia"/>
          <w:lang w:eastAsia="zh-CN"/>
        </w:rPr>
        <w:t>火灾报警控制器</w:t>
      </w:r>
      <w:r>
        <w:rPr>
          <w:rFonts w:hint="eastAsia" w:ascii="宋体" w:hAnsi="宋体" w:cs="宋体"/>
        </w:rPr>
        <w:t>》GB4717-</w:t>
      </w:r>
      <w:r>
        <w:rPr>
          <w:rFonts w:hint="eastAsia" w:cs="宋体"/>
          <w:lang w:val="en-US" w:eastAsia="zh-CN"/>
        </w:rPr>
        <w:t>2005</w:t>
      </w:r>
      <w:r>
        <w:rPr>
          <w:rFonts w:hint="eastAsia" w:ascii="宋体" w:hAnsi="宋体" w:cs="宋体"/>
        </w:rPr>
        <w:t>；</w:t>
      </w:r>
    </w:p>
    <w:p w14:paraId="7E35A5A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1.10 《消防安全标志》GB13495-</w:t>
      </w:r>
      <w:r>
        <w:rPr>
          <w:rFonts w:hint="eastAsia" w:ascii="宋体" w:hAnsi="宋体" w:cs="宋体"/>
          <w:lang w:val="en-US" w:eastAsia="zh-CN"/>
        </w:rPr>
        <w:t>19</w:t>
      </w:r>
      <w:r>
        <w:rPr>
          <w:rFonts w:hint="eastAsia" w:ascii="宋体" w:hAnsi="宋体" w:cs="宋体"/>
        </w:rPr>
        <w:t>92；</w:t>
      </w:r>
    </w:p>
    <w:p w14:paraId="11BD413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rPr>
      </w:pPr>
      <w:r>
        <w:rPr>
          <w:rFonts w:hint="eastAsia" w:ascii="宋体" w:hAnsi="宋体" w:cs="宋体"/>
        </w:rPr>
        <w:t>1.11 《消防安全标志设置要求》GB15630-</w:t>
      </w:r>
      <w:r>
        <w:rPr>
          <w:rFonts w:hint="eastAsia" w:ascii="宋体" w:hAnsi="宋体" w:cs="宋体"/>
          <w:lang w:val="en-US" w:eastAsia="zh-CN"/>
        </w:rPr>
        <w:t>19</w:t>
      </w:r>
      <w:r>
        <w:rPr>
          <w:rFonts w:hint="eastAsia" w:ascii="宋体" w:hAnsi="宋体" w:cs="宋体"/>
        </w:rPr>
        <w:t>95。</w:t>
      </w:r>
    </w:p>
    <w:p w14:paraId="68EFE03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rPr>
      </w:pPr>
      <w:r>
        <w:rPr>
          <w:rFonts w:hint="eastAsia"/>
          <w:b/>
          <w:lang w:eastAsia="zh-CN"/>
        </w:rPr>
        <w:t>（三）</w:t>
      </w:r>
      <w:r>
        <w:rPr>
          <w:rFonts w:hint="eastAsia"/>
          <w:b/>
        </w:rPr>
        <w:t>现场施工及其他要求</w:t>
      </w:r>
    </w:p>
    <w:p w14:paraId="25E3C36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1.</w:t>
      </w:r>
      <w:r>
        <w:rPr>
          <w:rFonts w:hint="eastAsia" w:ascii="宋体" w:hAnsi="宋体" w:cs="宋体"/>
          <w:b w:val="0"/>
          <w:bCs/>
        </w:rPr>
        <w:t>按国家行业标准和消防设备保养要求进行全面、规范、有计划的预防性维修保养服务，</w:t>
      </w:r>
      <w:r>
        <w:rPr>
          <w:rFonts w:hint="eastAsia" w:cs="宋体"/>
          <w:b w:val="0"/>
          <w:bCs/>
          <w:lang w:eastAsia="zh-CN"/>
        </w:rPr>
        <w:t>签订合同后</w:t>
      </w:r>
      <w:r>
        <w:rPr>
          <w:rFonts w:hint="eastAsia" w:cs="宋体"/>
          <w:b w:val="0"/>
          <w:bCs/>
          <w:lang w:val="en-US" w:eastAsia="zh-CN"/>
        </w:rPr>
        <w:t>5个工作日内提供全年维保计划，合同满一年后5个工作日内提供第二年维保计划，每月20号前提供上个月的月检维保报告，每季度进行全面的消控维保及排查，季度完成次月的20号前提供上一季的季检报告。</w:t>
      </w:r>
      <w:r>
        <w:rPr>
          <w:rFonts w:hint="eastAsia" w:ascii="宋体" w:hAnsi="宋体" w:cs="宋体"/>
          <w:b w:val="0"/>
          <w:bCs/>
        </w:rPr>
        <w:t>确保消防系统的周、月、季、年定期维修保养工作到位，保障消防系统设备的安全可靠运行。</w:t>
      </w:r>
    </w:p>
    <w:p w14:paraId="690489A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2.</w:t>
      </w:r>
      <w:r>
        <w:rPr>
          <w:rFonts w:hint="eastAsia" w:ascii="宋体" w:hAnsi="宋体" w:cs="宋体"/>
          <w:b w:val="0"/>
          <w:bCs/>
        </w:rPr>
        <w:t>对于在维护保养、日常检查测试及相关安全生产检查等中发现的问题由</w:t>
      </w:r>
      <w:r>
        <w:rPr>
          <w:rFonts w:hint="eastAsia" w:cs="宋体"/>
          <w:b w:val="0"/>
          <w:bCs/>
          <w:lang w:eastAsia="zh-CN"/>
        </w:rPr>
        <w:t>成交供应商</w:t>
      </w:r>
      <w:r>
        <w:rPr>
          <w:rFonts w:hint="eastAsia" w:ascii="宋体" w:hAnsi="宋体" w:cs="宋体"/>
          <w:b w:val="0"/>
          <w:bCs/>
        </w:rPr>
        <w:t>进行维修和处理。</w:t>
      </w:r>
    </w:p>
    <w:p w14:paraId="47044E5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3.</w:t>
      </w:r>
      <w:r>
        <w:rPr>
          <w:rFonts w:hint="eastAsia" w:cs="宋体"/>
          <w:b w:val="0"/>
          <w:bCs/>
          <w:lang w:eastAsia="zh-CN"/>
        </w:rPr>
        <w:t>成交供应商</w:t>
      </w:r>
      <w:r>
        <w:rPr>
          <w:rFonts w:hint="eastAsia" w:ascii="宋体" w:hAnsi="宋体" w:cs="宋体"/>
          <w:b w:val="0"/>
          <w:bCs/>
        </w:rPr>
        <w:t>所属工作人员必须服从</w:t>
      </w:r>
      <w:r>
        <w:rPr>
          <w:rFonts w:hint="eastAsia" w:cs="宋体"/>
          <w:b w:val="0"/>
          <w:bCs/>
          <w:lang w:eastAsia="zh-CN"/>
        </w:rPr>
        <w:t>采购人</w:t>
      </w:r>
      <w:r>
        <w:rPr>
          <w:rFonts w:hint="eastAsia" w:ascii="宋体" w:hAnsi="宋体" w:cs="宋体"/>
          <w:b w:val="0"/>
          <w:bCs/>
        </w:rPr>
        <w:t>项目负责人的领导和安排，自觉遵守</w:t>
      </w:r>
      <w:r>
        <w:rPr>
          <w:rFonts w:hint="eastAsia" w:cs="宋体"/>
          <w:b w:val="0"/>
          <w:bCs/>
          <w:lang w:eastAsia="zh-CN"/>
        </w:rPr>
        <w:t>采购人</w:t>
      </w:r>
      <w:r>
        <w:rPr>
          <w:rFonts w:hint="eastAsia" w:ascii="宋体" w:hAnsi="宋体" w:cs="宋体"/>
          <w:b w:val="0"/>
          <w:bCs/>
        </w:rPr>
        <w:t>的规章制度，若发生违规等行为时，按</w:t>
      </w:r>
      <w:r>
        <w:rPr>
          <w:rFonts w:hint="eastAsia" w:cs="宋体"/>
          <w:b w:val="0"/>
          <w:bCs/>
          <w:lang w:eastAsia="zh-CN"/>
        </w:rPr>
        <w:t>采购人</w:t>
      </w:r>
      <w:r>
        <w:rPr>
          <w:rFonts w:hint="eastAsia" w:ascii="宋体" w:hAnsi="宋体" w:cs="宋体"/>
          <w:b w:val="0"/>
          <w:bCs/>
        </w:rPr>
        <w:t>的考核管理标准进行处罚。</w:t>
      </w:r>
      <w:r>
        <w:rPr>
          <w:rFonts w:hint="eastAsia" w:cs="宋体"/>
          <w:b w:val="0"/>
          <w:bCs/>
          <w:lang w:eastAsia="zh-CN"/>
        </w:rPr>
        <w:t>成交供应商</w:t>
      </w:r>
      <w:r>
        <w:rPr>
          <w:rFonts w:hint="eastAsia" w:ascii="宋体" w:hAnsi="宋体" w:cs="宋体"/>
          <w:b w:val="0"/>
          <w:bCs/>
        </w:rPr>
        <w:t>要妥善保管维保服务相应的图纸，加强保密教育，提高人员的保密意识，杜绝发生失、泄密事件。</w:t>
      </w:r>
    </w:p>
    <w:p w14:paraId="1E27AA5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4.</w:t>
      </w:r>
      <w:r>
        <w:rPr>
          <w:rFonts w:hint="eastAsia" w:cs="宋体"/>
          <w:b w:val="0"/>
          <w:bCs/>
          <w:lang w:eastAsia="zh-CN"/>
        </w:rPr>
        <w:t>成交供应商</w:t>
      </w:r>
      <w:r>
        <w:rPr>
          <w:rFonts w:hint="eastAsia" w:ascii="宋体" w:hAnsi="宋体" w:cs="宋体"/>
          <w:b w:val="0"/>
          <w:bCs/>
        </w:rPr>
        <w:t>在现场施工期间堆放的材料须有序摆放，不能影响通道通行或阻挡设备及设施。</w:t>
      </w:r>
    </w:p>
    <w:p w14:paraId="2CC5B3A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5.</w:t>
      </w:r>
      <w:r>
        <w:rPr>
          <w:rFonts w:hint="eastAsia"/>
          <w:b w:val="0"/>
          <w:bCs/>
        </w:rPr>
        <w:t xml:space="preserve"> </w:t>
      </w:r>
      <w:r>
        <w:rPr>
          <w:rFonts w:hint="eastAsia" w:cs="宋体"/>
          <w:b w:val="0"/>
          <w:bCs/>
          <w:lang w:eastAsia="zh-CN"/>
        </w:rPr>
        <w:t>成交供应商</w:t>
      </w:r>
      <w:r>
        <w:rPr>
          <w:rFonts w:hint="eastAsia" w:ascii="宋体" w:hAnsi="宋体" w:cs="宋体"/>
          <w:b w:val="0"/>
          <w:bCs/>
        </w:rPr>
        <w:t>维保人员必须统一制服并佩戴工作证、按</w:t>
      </w:r>
      <w:r>
        <w:rPr>
          <w:rFonts w:hint="eastAsia" w:cs="宋体"/>
          <w:b w:val="0"/>
          <w:bCs/>
          <w:lang w:eastAsia="zh-CN"/>
        </w:rPr>
        <w:t>采购人</w:t>
      </w:r>
      <w:r>
        <w:rPr>
          <w:rFonts w:hint="eastAsia" w:ascii="宋体" w:hAnsi="宋体" w:cs="宋体"/>
          <w:b w:val="0"/>
          <w:bCs/>
        </w:rPr>
        <w:t>安全作业规范的相关要求佩戴符合要求的PPE（包括但不限于安全帽、安全鞋、带反光条的劳保服或背心、安全护目镜等）进入</w:t>
      </w:r>
      <w:r>
        <w:rPr>
          <w:rFonts w:hint="eastAsia" w:cs="宋体"/>
          <w:b w:val="0"/>
          <w:bCs/>
          <w:lang w:eastAsia="zh-CN"/>
        </w:rPr>
        <w:t>采购人</w:t>
      </w:r>
      <w:r>
        <w:rPr>
          <w:rFonts w:hint="eastAsia" w:ascii="宋体" w:hAnsi="宋体" w:cs="宋体"/>
          <w:b w:val="0"/>
          <w:bCs/>
        </w:rPr>
        <w:t>区域工作。</w:t>
      </w:r>
    </w:p>
    <w:p w14:paraId="5328B8C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6.</w:t>
      </w:r>
      <w:r>
        <w:rPr>
          <w:rFonts w:hint="eastAsia" w:cs="宋体"/>
          <w:b w:val="0"/>
          <w:bCs/>
          <w:lang w:eastAsia="zh-CN"/>
        </w:rPr>
        <w:t>成交供应商</w:t>
      </w:r>
      <w:r>
        <w:rPr>
          <w:rFonts w:hint="eastAsia" w:ascii="宋体" w:hAnsi="宋体" w:cs="宋体"/>
          <w:b w:val="0"/>
          <w:bCs/>
        </w:rPr>
        <w:t>自行配备工作所需的工具及设备，保养时设置现场安全警示标志（如需要）。在维护保养及故障处理过程中可能会需要的脚手架搭设、安全防护、现场隔离措施、物料排空、现场焊接或零配件更换、以及上述活动中涉及到的人力机具准备等，全部由</w:t>
      </w:r>
      <w:r>
        <w:rPr>
          <w:rFonts w:hint="eastAsia" w:cs="宋体"/>
          <w:b w:val="0"/>
          <w:bCs/>
          <w:lang w:eastAsia="zh-CN"/>
        </w:rPr>
        <w:t>成交供应商</w:t>
      </w:r>
      <w:r>
        <w:rPr>
          <w:rFonts w:hint="eastAsia" w:ascii="宋体" w:hAnsi="宋体" w:cs="宋体"/>
          <w:b w:val="0"/>
          <w:bCs/>
        </w:rPr>
        <w:t>自行准备和负责。</w:t>
      </w:r>
    </w:p>
    <w:p w14:paraId="09C3D8F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7.</w:t>
      </w:r>
      <w:r>
        <w:rPr>
          <w:rFonts w:hint="eastAsia" w:cs="宋体"/>
          <w:b w:val="0"/>
          <w:bCs/>
          <w:lang w:eastAsia="zh-CN"/>
        </w:rPr>
        <w:t>成交供应商</w:t>
      </w:r>
      <w:r>
        <w:rPr>
          <w:rFonts w:hint="eastAsia" w:ascii="宋体" w:hAnsi="宋体" w:cs="宋体"/>
          <w:b w:val="0"/>
          <w:bCs/>
        </w:rPr>
        <w:t>维保人员在维保期间的安全责任全部由</w:t>
      </w:r>
      <w:r>
        <w:rPr>
          <w:rFonts w:hint="eastAsia" w:cs="宋体"/>
          <w:b w:val="0"/>
          <w:bCs/>
          <w:lang w:eastAsia="zh-CN"/>
        </w:rPr>
        <w:t>成交供应商</w:t>
      </w:r>
      <w:r>
        <w:rPr>
          <w:rFonts w:hint="eastAsia" w:ascii="宋体" w:hAnsi="宋体" w:cs="宋体"/>
          <w:b w:val="0"/>
          <w:bCs/>
        </w:rPr>
        <w:t>承担，</w:t>
      </w:r>
      <w:r>
        <w:rPr>
          <w:rFonts w:hint="eastAsia" w:cs="宋体"/>
          <w:b w:val="0"/>
          <w:bCs/>
          <w:lang w:eastAsia="zh-CN"/>
        </w:rPr>
        <w:t>采购人</w:t>
      </w:r>
      <w:r>
        <w:rPr>
          <w:rFonts w:hint="eastAsia" w:ascii="宋体" w:hAnsi="宋体" w:cs="宋体"/>
          <w:b w:val="0"/>
          <w:bCs/>
        </w:rPr>
        <w:t>不承担责任。</w:t>
      </w:r>
    </w:p>
    <w:p w14:paraId="4453EA9B">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8.人员要求</w:t>
      </w:r>
    </w:p>
    <w:p w14:paraId="07706D5E">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u w:val="none"/>
          <w:lang w:val="en-US" w:eastAsia="zh-CN"/>
        </w:rPr>
      </w:pPr>
      <w:r>
        <w:rPr>
          <w:rFonts w:hint="eastAsia" w:ascii="宋体" w:hAnsi="宋体" w:eastAsia="宋体" w:cs="宋体"/>
          <w:sz w:val="24"/>
          <w:highlight w:val="none"/>
          <w:u w:val="none"/>
          <w:lang w:val="en-US" w:eastAsia="zh-CN"/>
        </w:rPr>
        <w:t>8.1</w:t>
      </w:r>
      <w:r>
        <w:rPr>
          <w:rFonts w:hint="eastAsia" w:ascii="宋体" w:hAnsi="宋体" w:eastAsia="宋体" w:cs="宋体"/>
          <w:sz w:val="24"/>
          <w:highlight w:val="none"/>
          <w:u w:val="none"/>
        </w:rPr>
        <w:t>定期检测、日常巡场期间，</w:t>
      </w:r>
      <w:r>
        <w:rPr>
          <w:rFonts w:hint="eastAsia" w:ascii="宋体" w:hAnsi="宋体" w:eastAsia="宋体" w:cs="宋体"/>
          <w:sz w:val="24"/>
          <w:highlight w:val="none"/>
          <w:u w:val="none"/>
          <w:lang w:eastAsia="zh-CN"/>
        </w:rPr>
        <w:t>成交供应商须</w:t>
      </w:r>
      <w:r>
        <w:rPr>
          <w:rFonts w:hint="eastAsia" w:ascii="宋体" w:hAnsi="宋体" w:eastAsia="宋体" w:cs="宋体"/>
          <w:sz w:val="24"/>
          <w:highlight w:val="none"/>
          <w:u w:val="none"/>
        </w:rPr>
        <w:t>提供不少于</w:t>
      </w:r>
      <w:r>
        <w:rPr>
          <w:rFonts w:hint="eastAsia" w:ascii="宋体" w:hAnsi="宋体" w:cs="宋体"/>
          <w:sz w:val="24"/>
          <w:highlight w:val="none"/>
          <w:u w:val="none"/>
          <w:lang w:val="en-US" w:eastAsia="zh-CN"/>
        </w:rPr>
        <w:t>4</w:t>
      </w:r>
      <w:r>
        <w:rPr>
          <w:rFonts w:hint="eastAsia" w:ascii="宋体" w:hAnsi="宋体" w:eastAsia="宋体" w:cs="宋体"/>
          <w:sz w:val="24"/>
          <w:highlight w:val="none"/>
          <w:u w:val="none"/>
        </w:rPr>
        <w:t>人的维保团队</w:t>
      </w:r>
      <w:r>
        <w:rPr>
          <w:rFonts w:hint="eastAsia" w:ascii="宋体" w:hAnsi="宋体" w:eastAsia="宋体" w:cs="宋体"/>
          <w:sz w:val="24"/>
          <w:highlight w:val="none"/>
          <w:u w:val="none"/>
          <w:lang w:eastAsia="zh-CN"/>
        </w:rPr>
        <w:t>，</w:t>
      </w:r>
      <w:r>
        <w:rPr>
          <w:rFonts w:hint="eastAsia" w:ascii="宋体" w:hAnsi="宋体" w:eastAsia="宋体" w:cs="宋体"/>
          <w:b/>
          <w:bCs/>
          <w:i w:val="0"/>
          <w:iCs w:val="0"/>
          <w:caps w:val="0"/>
          <w:color w:val="000000"/>
          <w:spacing w:val="0"/>
          <w:sz w:val="24"/>
          <w:szCs w:val="24"/>
          <w:highlight w:val="none"/>
          <w:u w:val="none"/>
          <w:lang w:eastAsia="zh-CN"/>
        </w:rPr>
        <w:t>人员要求如下：维保人员其中不少于</w:t>
      </w:r>
      <w:r>
        <w:rPr>
          <w:rFonts w:hint="eastAsia" w:ascii="宋体" w:hAnsi="宋体" w:cs="宋体"/>
          <w:b/>
          <w:bCs/>
          <w:i w:val="0"/>
          <w:iCs w:val="0"/>
          <w:caps w:val="0"/>
          <w:color w:val="000000"/>
          <w:spacing w:val="0"/>
          <w:sz w:val="24"/>
          <w:szCs w:val="24"/>
          <w:highlight w:val="none"/>
          <w:u w:val="none"/>
          <w:lang w:val="en-US" w:eastAsia="zh-CN"/>
        </w:rPr>
        <w:t>2</w:t>
      </w:r>
      <w:r>
        <w:rPr>
          <w:rFonts w:hint="eastAsia" w:ascii="宋体" w:hAnsi="宋体" w:eastAsia="宋体" w:cs="宋体"/>
          <w:b/>
          <w:bCs/>
          <w:i w:val="0"/>
          <w:iCs w:val="0"/>
          <w:caps w:val="0"/>
          <w:color w:val="000000"/>
          <w:spacing w:val="0"/>
          <w:sz w:val="24"/>
          <w:szCs w:val="24"/>
          <w:highlight w:val="none"/>
          <w:u w:val="none"/>
          <w:lang w:val="en-US" w:eastAsia="zh-CN"/>
        </w:rPr>
        <w:t>名</w:t>
      </w:r>
      <w:r>
        <w:rPr>
          <w:rStyle w:val="24"/>
          <w:rFonts w:hint="eastAsia" w:ascii="宋体" w:hAnsi="宋体" w:eastAsia="宋体" w:cs="宋体"/>
          <w:b/>
          <w:bCs/>
          <w:sz w:val="24"/>
          <w:szCs w:val="24"/>
          <w:highlight w:val="none"/>
          <w:u w:val="none"/>
          <w:lang w:eastAsia="zh-CN"/>
        </w:rPr>
        <w:t>具有</w:t>
      </w:r>
      <w:r>
        <w:rPr>
          <w:rStyle w:val="24"/>
          <w:rFonts w:hint="eastAsia" w:ascii="宋体" w:hAnsi="宋体" w:eastAsia="宋体" w:cs="宋体"/>
          <w:b/>
          <w:bCs/>
          <w:sz w:val="24"/>
          <w:szCs w:val="24"/>
          <w:highlight w:val="none"/>
          <w:u w:val="none"/>
          <w:lang w:val="en-US" w:eastAsia="zh-CN"/>
        </w:rPr>
        <w:t>中级（或四级）及以上</w:t>
      </w:r>
      <w:r>
        <w:rPr>
          <w:rFonts w:hint="eastAsia" w:ascii="宋体" w:hAnsi="宋体" w:eastAsia="宋体" w:cs="宋体"/>
          <w:b/>
          <w:bCs/>
          <w:i w:val="0"/>
          <w:iCs w:val="0"/>
          <w:caps w:val="0"/>
          <w:color w:val="000000"/>
          <w:spacing w:val="0"/>
          <w:sz w:val="24"/>
          <w:szCs w:val="24"/>
          <w:highlight w:val="none"/>
          <w:u w:val="none"/>
        </w:rPr>
        <w:t>消防设施操作员（或建（构）筑物消防员）</w:t>
      </w:r>
      <w:r>
        <w:rPr>
          <w:rFonts w:hint="eastAsia" w:ascii="宋体" w:hAnsi="宋体" w:eastAsia="宋体" w:cs="宋体"/>
          <w:b/>
          <w:bCs/>
          <w:i w:val="0"/>
          <w:iCs w:val="0"/>
          <w:caps w:val="0"/>
          <w:color w:val="000000"/>
          <w:spacing w:val="0"/>
          <w:sz w:val="24"/>
          <w:szCs w:val="24"/>
          <w:highlight w:val="none"/>
          <w:u w:val="none"/>
          <w:lang w:eastAsia="zh-CN"/>
        </w:rPr>
        <w:t>，不少于</w:t>
      </w:r>
      <w:r>
        <w:rPr>
          <w:rFonts w:hint="eastAsia" w:ascii="宋体" w:hAnsi="宋体" w:eastAsia="宋体" w:cs="宋体"/>
          <w:b/>
          <w:bCs/>
          <w:i w:val="0"/>
          <w:iCs w:val="0"/>
          <w:caps w:val="0"/>
          <w:color w:val="000000"/>
          <w:spacing w:val="0"/>
          <w:sz w:val="24"/>
          <w:szCs w:val="24"/>
          <w:highlight w:val="none"/>
          <w:u w:val="none"/>
          <w:lang w:val="en-US" w:eastAsia="zh-CN"/>
        </w:rPr>
        <w:t>2名具有一级及以上注册消防工程师</w:t>
      </w:r>
      <w:r>
        <w:rPr>
          <w:rFonts w:hint="eastAsia" w:ascii="宋体" w:hAnsi="宋体" w:eastAsia="宋体" w:cs="宋体"/>
          <w:b/>
          <w:bCs/>
          <w:i w:val="0"/>
          <w:iCs w:val="0"/>
          <w:caps w:val="0"/>
          <w:color w:val="000000"/>
          <w:spacing w:val="0"/>
          <w:sz w:val="24"/>
          <w:szCs w:val="24"/>
          <w:highlight w:val="none"/>
          <w:u w:val="none"/>
          <w:lang w:eastAsia="zh-CN"/>
        </w:rPr>
        <w:t>，供应商</w:t>
      </w:r>
      <w:r>
        <w:rPr>
          <w:rStyle w:val="24"/>
          <w:rFonts w:hint="eastAsia" w:ascii="宋体" w:hAnsi="宋体" w:eastAsia="宋体" w:cs="宋体"/>
          <w:b/>
          <w:bCs/>
          <w:sz w:val="24"/>
          <w:szCs w:val="24"/>
          <w:highlight w:val="none"/>
          <w:u w:val="none"/>
          <w:lang w:eastAsia="zh-CN"/>
        </w:rPr>
        <w:t>须在响应文件中</w:t>
      </w:r>
      <w:r>
        <w:rPr>
          <w:rStyle w:val="24"/>
          <w:rFonts w:hint="eastAsia" w:ascii="宋体" w:hAnsi="宋体" w:eastAsia="宋体" w:cs="宋体"/>
          <w:b/>
          <w:bCs/>
          <w:sz w:val="24"/>
          <w:szCs w:val="24"/>
          <w:highlight w:val="none"/>
          <w:u w:val="none"/>
        </w:rPr>
        <w:t>提供</w:t>
      </w:r>
      <w:r>
        <w:rPr>
          <w:rStyle w:val="24"/>
          <w:rFonts w:hint="eastAsia" w:ascii="宋体" w:hAnsi="宋体" w:eastAsia="宋体" w:cs="宋体"/>
          <w:b/>
          <w:bCs/>
          <w:sz w:val="24"/>
          <w:szCs w:val="24"/>
          <w:highlight w:val="none"/>
          <w:u w:val="none"/>
          <w:lang w:eastAsia="zh-CN"/>
        </w:rPr>
        <w:t>有效的</w:t>
      </w:r>
      <w:r>
        <w:rPr>
          <w:rStyle w:val="24"/>
          <w:rFonts w:hint="eastAsia" w:ascii="宋体" w:hAnsi="宋体" w:eastAsia="宋体" w:cs="宋体"/>
          <w:b/>
          <w:bCs/>
          <w:sz w:val="24"/>
          <w:szCs w:val="24"/>
          <w:highlight w:val="none"/>
          <w:u w:val="none"/>
        </w:rPr>
        <w:t>证书复印件</w:t>
      </w:r>
      <w:r>
        <w:rPr>
          <w:rStyle w:val="24"/>
          <w:rFonts w:hint="eastAsia" w:ascii="宋体" w:hAnsi="宋体" w:eastAsia="宋体" w:cs="宋体"/>
          <w:b/>
          <w:bCs/>
          <w:sz w:val="24"/>
          <w:szCs w:val="24"/>
          <w:highlight w:val="none"/>
          <w:u w:val="none"/>
          <w:lang w:eastAsia="zh-CN"/>
        </w:rPr>
        <w:t>及竞价</w:t>
      </w:r>
      <w:r>
        <w:rPr>
          <w:rFonts w:hint="eastAsia" w:ascii="宋体" w:hAnsi="宋体" w:eastAsia="宋体" w:cs="宋体"/>
          <w:b/>
          <w:bCs/>
          <w:i w:val="0"/>
          <w:iCs w:val="0"/>
          <w:caps w:val="0"/>
          <w:color w:val="000000"/>
          <w:spacing w:val="0"/>
          <w:sz w:val="24"/>
          <w:szCs w:val="24"/>
          <w:highlight w:val="none"/>
          <w:u w:val="none"/>
        </w:rPr>
        <w:t>截止时间前</w:t>
      </w:r>
      <w:r>
        <w:rPr>
          <w:rFonts w:hint="eastAsia" w:ascii="宋体" w:hAnsi="宋体" w:eastAsia="宋体" w:cs="宋体"/>
          <w:b/>
          <w:bCs/>
          <w:i w:val="0"/>
          <w:iCs w:val="0"/>
          <w:caps w:val="0"/>
          <w:color w:val="000000"/>
          <w:spacing w:val="0"/>
          <w:sz w:val="24"/>
          <w:szCs w:val="24"/>
          <w:highlight w:val="none"/>
          <w:u w:val="none"/>
          <w:lang w:eastAsia="zh-CN"/>
        </w:rPr>
        <w:t>六</w:t>
      </w:r>
      <w:r>
        <w:rPr>
          <w:rFonts w:hint="eastAsia" w:ascii="宋体" w:hAnsi="宋体" w:eastAsia="宋体" w:cs="宋体"/>
          <w:b/>
          <w:bCs/>
          <w:i w:val="0"/>
          <w:iCs w:val="0"/>
          <w:caps w:val="0"/>
          <w:color w:val="000000"/>
          <w:spacing w:val="0"/>
          <w:sz w:val="24"/>
          <w:szCs w:val="24"/>
          <w:highlight w:val="none"/>
          <w:u w:val="none"/>
        </w:rPr>
        <w:t>个月（不含</w:t>
      </w:r>
      <w:r>
        <w:rPr>
          <w:rStyle w:val="24"/>
          <w:rFonts w:hint="eastAsia" w:ascii="宋体" w:hAnsi="宋体" w:eastAsia="宋体" w:cs="宋体"/>
          <w:b/>
          <w:bCs/>
          <w:sz w:val="24"/>
          <w:szCs w:val="24"/>
          <w:highlight w:val="none"/>
          <w:u w:val="none"/>
          <w:lang w:eastAsia="zh-CN"/>
        </w:rPr>
        <w:t>竞价</w:t>
      </w:r>
      <w:r>
        <w:rPr>
          <w:rFonts w:hint="eastAsia" w:ascii="宋体" w:hAnsi="宋体" w:eastAsia="宋体" w:cs="宋体"/>
          <w:b/>
          <w:bCs/>
          <w:i w:val="0"/>
          <w:iCs w:val="0"/>
          <w:caps w:val="0"/>
          <w:color w:val="000000"/>
          <w:spacing w:val="0"/>
          <w:sz w:val="24"/>
          <w:szCs w:val="24"/>
          <w:highlight w:val="none"/>
          <w:u w:val="none"/>
        </w:rPr>
        <w:t>截止时间的当月）中任意一个月</w:t>
      </w:r>
      <w:r>
        <w:rPr>
          <w:rFonts w:hint="eastAsia" w:ascii="宋体" w:hAnsi="宋体" w:eastAsia="宋体" w:cs="宋体"/>
          <w:b/>
          <w:bCs/>
          <w:i w:val="0"/>
          <w:iCs w:val="0"/>
          <w:caps w:val="0"/>
          <w:color w:val="000000"/>
          <w:spacing w:val="0"/>
          <w:sz w:val="24"/>
          <w:szCs w:val="24"/>
          <w:highlight w:val="none"/>
          <w:u w:val="none"/>
          <w:lang w:eastAsia="zh-CN"/>
        </w:rPr>
        <w:t>供应商</w:t>
      </w:r>
      <w:r>
        <w:rPr>
          <w:rFonts w:hint="eastAsia" w:ascii="宋体" w:hAnsi="宋体" w:eastAsia="宋体" w:cs="宋体"/>
          <w:b/>
          <w:bCs/>
          <w:i w:val="0"/>
          <w:iCs w:val="0"/>
          <w:caps w:val="0"/>
          <w:color w:val="000000"/>
          <w:spacing w:val="0"/>
          <w:sz w:val="24"/>
          <w:szCs w:val="24"/>
          <w:highlight w:val="none"/>
          <w:u w:val="none"/>
        </w:rPr>
        <w:t>为其缴纳的社保证明材料</w:t>
      </w:r>
      <w:r>
        <w:rPr>
          <w:rFonts w:hint="eastAsia" w:ascii="宋体" w:hAnsi="宋体" w:eastAsia="宋体" w:cs="宋体"/>
          <w:b/>
          <w:bCs/>
          <w:sz w:val="24"/>
          <w:highlight w:val="none"/>
          <w:u w:val="none"/>
        </w:rPr>
        <w:t>并</w:t>
      </w:r>
      <w:r>
        <w:rPr>
          <w:rFonts w:hint="eastAsia" w:ascii="宋体" w:hAnsi="宋体" w:eastAsia="宋体" w:cs="宋体"/>
          <w:b/>
          <w:bCs/>
          <w:sz w:val="24"/>
          <w:highlight w:val="none"/>
          <w:u w:val="none"/>
          <w:lang w:eastAsia="zh-CN"/>
        </w:rPr>
        <w:t>同时</w:t>
      </w:r>
      <w:r>
        <w:rPr>
          <w:rFonts w:hint="eastAsia" w:ascii="宋体" w:hAnsi="宋体" w:eastAsia="宋体" w:cs="宋体"/>
          <w:b/>
          <w:bCs/>
          <w:sz w:val="24"/>
          <w:highlight w:val="none"/>
          <w:u w:val="none"/>
        </w:rPr>
        <w:t>提供</w:t>
      </w:r>
      <w:r>
        <w:rPr>
          <w:rFonts w:hint="eastAsia" w:ascii="宋体" w:hAnsi="宋体" w:eastAsia="宋体" w:cs="宋体"/>
          <w:b/>
          <w:bCs/>
          <w:sz w:val="24"/>
          <w:highlight w:val="none"/>
          <w:u w:val="none"/>
          <w:lang w:eastAsia="zh-CN"/>
        </w:rPr>
        <w:t>该人员</w:t>
      </w:r>
      <w:r>
        <w:rPr>
          <w:rFonts w:hint="eastAsia" w:ascii="宋体" w:hAnsi="宋体" w:eastAsia="宋体" w:cs="宋体"/>
          <w:b/>
          <w:bCs/>
          <w:sz w:val="24"/>
          <w:highlight w:val="none"/>
          <w:u w:val="none"/>
        </w:rPr>
        <w:t>无犯罪记录</w:t>
      </w:r>
      <w:r>
        <w:rPr>
          <w:rFonts w:hint="eastAsia" w:ascii="宋体" w:hAnsi="宋体" w:eastAsia="宋体" w:cs="宋体"/>
          <w:b/>
          <w:bCs/>
          <w:color w:val="000000"/>
          <w:sz w:val="24"/>
          <w:highlight w:val="none"/>
          <w:u w:val="none"/>
        </w:rPr>
        <w:t>声明函（格式自拟）</w:t>
      </w:r>
      <w:r>
        <w:rPr>
          <w:rFonts w:hint="eastAsia" w:ascii="宋体" w:hAnsi="宋体" w:eastAsia="宋体" w:cs="宋体"/>
          <w:b/>
          <w:bCs/>
          <w:color w:val="000000"/>
          <w:sz w:val="24"/>
          <w:highlight w:val="none"/>
          <w:u w:val="none"/>
          <w:lang w:eastAsia="zh-CN"/>
        </w:rPr>
        <w:t>，未提供或提供不齐全的按无效响应处理</w:t>
      </w:r>
      <w:r>
        <w:rPr>
          <w:rFonts w:hint="eastAsia" w:ascii="宋体" w:hAnsi="宋体" w:eastAsia="宋体" w:cs="宋体"/>
          <w:b/>
          <w:bCs/>
          <w:sz w:val="24"/>
          <w:highlight w:val="none"/>
          <w:u w:val="none"/>
        </w:rPr>
        <w:t>。</w:t>
      </w:r>
    </w:p>
    <w:p w14:paraId="5E202FB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highlight w:val="none"/>
        </w:rPr>
      </w:pPr>
      <w:r>
        <w:rPr>
          <w:rFonts w:hint="eastAsia" w:eastAsia="宋体"/>
          <w:highlight w:val="none"/>
          <w:lang w:val="en-US" w:eastAsia="zh-CN"/>
        </w:rPr>
        <w:t>8.2</w:t>
      </w:r>
      <w:r>
        <w:rPr>
          <w:rFonts w:hint="eastAsia" w:eastAsia="宋体" w:cs="宋体"/>
          <w:highlight w:val="none"/>
          <w:lang w:eastAsia="zh-CN"/>
        </w:rPr>
        <w:t>成交供应商</w:t>
      </w:r>
      <w:r>
        <w:rPr>
          <w:rFonts w:hint="eastAsia" w:ascii="宋体" w:hAnsi="宋体" w:eastAsia="宋体" w:cs="宋体"/>
          <w:highlight w:val="none"/>
        </w:rPr>
        <w:t>需保证维保人员的技术水平的专业性，并固定维保人员，同时签订合同时提供名单报</w:t>
      </w:r>
      <w:r>
        <w:rPr>
          <w:rFonts w:hint="eastAsia" w:eastAsia="宋体" w:cs="宋体"/>
          <w:highlight w:val="none"/>
          <w:lang w:eastAsia="zh-CN"/>
        </w:rPr>
        <w:t>采购人</w:t>
      </w:r>
      <w:r>
        <w:rPr>
          <w:rFonts w:hint="eastAsia" w:ascii="宋体" w:hAnsi="宋体" w:eastAsia="宋体" w:cs="宋体"/>
          <w:highlight w:val="none"/>
        </w:rPr>
        <w:t>备案，</w:t>
      </w:r>
      <w:r>
        <w:rPr>
          <w:rFonts w:hint="eastAsia" w:ascii="宋体" w:hAnsi="宋体" w:eastAsia="宋体" w:cs="宋体"/>
          <w:highlight w:val="none"/>
          <w:lang w:eastAsia="zh-CN"/>
        </w:rPr>
        <w:t>成交供应商</w:t>
      </w:r>
      <w:r>
        <w:rPr>
          <w:rFonts w:hint="eastAsia" w:eastAsia="宋体" w:cs="宋体"/>
          <w:highlight w:val="none"/>
          <w:lang w:eastAsia="zh-CN"/>
        </w:rPr>
        <w:t>进场前应与采购人合理协商安排进场维保时间及维保人员数量，保证维保工作正常进行，同时</w:t>
      </w:r>
      <w:r>
        <w:rPr>
          <w:rFonts w:hint="eastAsia" w:cs="宋体"/>
          <w:highlight w:val="none"/>
          <w:lang w:eastAsia="zh-CN"/>
        </w:rPr>
        <w:t>法定工作日需安排不少于</w:t>
      </w:r>
      <w:r>
        <w:rPr>
          <w:rFonts w:hint="eastAsia" w:cs="宋体"/>
          <w:highlight w:val="none"/>
          <w:lang w:val="en-US" w:eastAsia="zh-CN"/>
        </w:rPr>
        <w:t>1人驻点</w:t>
      </w:r>
      <w:r>
        <w:rPr>
          <w:rFonts w:hint="eastAsia" w:eastAsia="宋体" w:cs="宋体"/>
          <w:highlight w:val="none"/>
          <w:lang w:eastAsia="zh-CN"/>
        </w:rPr>
        <w:t>，每天工作8小时，驻点人员应相对固定(不超过2个人)</w:t>
      </w:r>
      <w:r>
        <w:rPr>
          <w:rFonts w:hint="eastAsia" w:ascii="宋体" w:hAnsi="宋体" w:eastAsia="宋体" w:cs="宋体"/>
          <w:highlight w:val="none"/>
        </w:rPr>
        <w:t>到</w:t>
      </w:r>
      <w:r>
        <w:rPr>
          <w:rFonts w:hint="eastAsia" w:ascii="宋体" w:hAnsi="宋体" w:eastAsia="宋体" w:cs="宋体"/>
          <w:highlight w:val="none"/>
          <w:lang w:eastAsia="zh-CN"/>
        </w:rPr>
        <w:t>采购人</w:t>
      </w:r>
      <w:r>
        <w:rPr>
          <w:rFonts w:hint="eastAsia" w:ascii="宋体" w:hAnsi="宋体" w:eastAsia="宋体" w:cs="宋体"/>
          <w:highlight w:val="none"/>
        </w:rPr>
        <w:t>指定地点负责消防设施设备的日常巡查和维保工作</w:t>
      </w:r>
      <w:r>
        <w:rPr>
          <w:rFonts w:hint="eastAsia" w:eastAsia="宋体" w:cs="宋体"/>
          <w:highlight w:val="none"/>
          <w:lang w:eastAsia="zh-CN"/>
        </w:rPr>
        <w:t>，具体方案按采购人通知为准。如遇特殊紧急情况，2小时内公司派专业的抢修团队到场。</w:t>
      </w:r>
    </w:p>
    <w:p w14:paraId="46F8BC8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8.3</w:t>
      </w:r>
      <w:r>
        <w:rPr>
          <w:rFonts w:hint="eastAsia" w:ascii="宋体" w:hAnsi="宋体" w:eastAsia="宋体" w:cs="宋体"/>
          <w:highlight w:val="none"/>
        </w:rPr>
        <w:t>所有人员不得随意更换，若因团队人员出现违反</w:t>
      </w:r>
      <w:r>
        <w:rPr>
          <w:rFonts w:hint="eastAsia" w:ascii="宋体" w:hAnsi="宋体" w:eastAsia="宋体" w:cs="宋体"/>
          <w:highlight w:val="none"/>
          <w:lang w:eastAsia="zh-CN"/>
        </w:rPr>
        <w:t>网上</w:t>
      </w:r>
      <w:r>
        <w:rPr>
          <w:rFonts w:hint="eastAsia" w:ascii="宋体" w:hAnsi="宋体" w:eastAsia="宋体" w:cs="宋体"/>
          <w:highlight w:val="none"/>
        </w:rPr>
        <w:t>竞价文件或合同规定的情形，采购人要求更换的，则</w:t>
      </w:r>
      <w:r>
        <w:rPr>
          <w:rFonts w:hint="eastAsia" w:ascii="宋体" w:hAnsi="宋体" w:eastAsia="宋体" w:cs="宋体"/>
          <w:highlight w:val="none"/>
          <w:lang w:eastAsia="zh-CN"/>
        </w:rPr>
        <w:t>成交供应商</w:t>
      </w:r>
      <w:r>
        <w:rPr>
          <w:rFonts w:hint="eastAsia" w:ascii="宋体" w:hAnsi="宋体" w:eastAsia="宋体" w:cs="宋体"/>
          <w:highlight w:val="none"/>
        </w:rPr>
        <w:t>应在2日内更换人员。若团队人员出现重大疾病、伤亡或其它不可抗力因素经采购人同意后，才予更换。所有更换人员应具备竞价文件规定的该岗位人员应具备的相应证书等。</w:t>
      </w:r>
    </w:p>
    <w:p w14:paraId="2AC1141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9.</w:t>
      </w:r>
      <w:r>
        <w:rPr>
          <w:rFonts w:hint="eastAsia" w:ascii="宋体" w:hAnsi="宋体" w:cs="宋体"/>
          <w:b w:val="0"/>
          <w:bCs/>
        </w:rPr>
        <w:t>合同签定后，</w:t>
      </w:r>
      <w:r>
        <w:rPr>
          <w:rFonts w:hint="eastAsia" w:cs="宋体"/>
          <w:b w:val="0"/>
          <w:bCs/>
          <w:lang w:eastAsia="zh-CN"/>
        </w:rPr>
        <w:t>成交供应商</w:t>
      </w:r>
      <w:r>
        <w:rPr>
          <w:rFonts w:hint="eastAsia" w:ascii="宋体" w:hAnsi="宋体" w:cs="宋体"/>
          <w:b w:val="0"/>
          <w:bCs/>
        </w:rPr>
        <w:t>必须在</w:t>
      </w:r>
      <w:r>
        <w:rPr>
          <w:rFonts w:hint="eastAsia" w:cs="宋体"/>
          <w:b w:val="0"/>
          <w:bCs/>
          <w:lang w:eastAsia="zh-CN"/>
        </w:rPr>
        <w:t>采购人</w:t>
      </w:r>
      <w:r>
        <w:rPr>
          <w:rFonts w:hint="eastAsia" w:ascii="宋体" w:hAnsi="宋体" w:cs="宋体"/>
          <w:b w:val="0"/>
          <w:bCs/>
        </w:rPr>
        <w:t>通知时间内组织专业人员对</w:t>
      </w:r>
      <w:r>
        <w:rPr>
          <w:rFonts w:hint="eastAsia" w:cs="宋体"/>
          <w:b w:val="0"/>
          <w:bCs/>
          <w:lang w:eastAsia="zh-CN"/>
        </w:rPr>
        <w:t>采购人</w:t>
      </w:r>
      <w:r>
        <w:rPr>
          <w:rFonts w:hint="eastAsia" w:ascii="宋体" w:hAnsi="宋体" w:cs="宋体"/>
          <w:b w:val="0"/>
          <w:bCs/>
        </w:rPr>
        <w:t>所有的消防系统进行维修保养和检查，确保消防系统运行正常。</w:t>
      </w:r>
    </w:p>
    <w:p w14:paraId="65AED74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rPr>
      </w:pPr>
      <w:r>
        <w:rPr>
          <w:rFonts w:hint="eastAsia"/>
          <w:b w:val="0"/>
          <w:bCs/>
          <w:lang w:val="en-US" w:eastAsia="zh-CN"/>
        </w:rPr>
        <w:t>10.</w:t>
      </w:r>
      <w:r>
        <w:rPr>
          <w:rFonts w:hint="eastAsia" w:cs="宋体"/>
          <w:b w:val="0"/>
          <w:bCs/>
          <w:lang w:eastAsia="zh-CN"/>
        </w:rPr>
        <w:t>成交供应商</w:t>
      </w:r>
      <w:r>
        <w:rPr>
          <w:rFonts w:hint="eastAsia" w:ascii="宋体" w:hAnsi="宋体" w:cs="宋体"/>
          <w:b w:val="0"/>
          <w:bCs/>
        </w:rPr>
        <w:t>须保证全天24小时能随时受理</w:t>
      </w:r>
      <w:r>
        <w:rPr>
          <w:rFonts w:hint="eastAsia" w:cs="宋体"/>
          <w:b w:val="0"/>
          <w:bCs/>
          <w:lang w:eastAsia="zh-CN"/>
        </w:rPr>
        <w:t>采购人</w:t>
      </w:r>
      <w:r>
        <w:rPr>
          <w:rFonts w:hint="eastAsia" w:ascii="宋体" w:hAnsi="宋体" w:cs="宋体"/>
          <w:b w:val="0"/>
          <w:bCs/>
        </w:rPr>
        <w:t>有关消防设施的紧急事故、故障及投诉等，</w:t>
      </w:r>
      <w:r>
        <w:rPr>
          <w:rFonts w:hint="eastAsia" w:cs="宋体"/>
          <w:b w:val="0"/>
          <w:bCs/>
          <w:lang w:eastAsia="zh-CN"/>
        </w:rPr>
        <w:t>成交供应商</w:t>
      </w:r>
      <w:r>
        <w:rPr>
          <w:rFonts w:hint="eastAsia" w:ascii="宋体" w:hAnsi="宋体" w:cs="宋体"/>
          <w:b w:val="0"/>
          <w:bCs/>
        </w:rPr>
        <w:t>在接到</w:t>
      </w:r>
      <w:r>
        <w:rPr>
          <w:rFonts w:hint="eastAsia" w:cs="宋体"/>
          <w:b w:val="0"/>
          <w:bCs/>
          <w:lang w:eastAsia="zh-CN"/>
        </w:rPr>
        <w:t>采购人</w:t>
      </w:r>
      <w:r>
        <w:rPr>
          <w:rFonts w:hint="eastAsia" w:ascii="宋体" w:hAnsi="宋体" w:cs="宋体"/>
          <w:b w:val="0"/>
          <w:bCs/>
        </w:rPr>
        <w:t>工作人员报修电话后，应在3小时之内赶到现场进行处理（特殊情况，电话向</w:t>
      </w:r>
      <w:r>
        <w:rPr>
          <w:rFonts w:hint="eastAsia" w:cs="宋体"/>
          <w:b w:val="0"/>
          <w:bCs/>
          <w:lang w:eastAsia="zh-CN"/>
        </w:rPr>
        <w:t>采购人</w:t>
      </w:r>
      <w:r>
        <w:rPr>
          <w:rFonts w:hint="eastAsia" w:ascii="宋体" w:hAnsi="宋体" w:cs="宋体"/>
          <w:b w:val="0"/>
          <w:bCs/>
        </w:rPr>
        <w:t>请示商定到达时间），一般故障的修复不超过12小时，项目量大的修复不得超过7日，如在指定期限内无法修复，须以书面形式向</w:t>
      </w:r>
      <w:r>
        <w:rPr>
          <w:rFonts w:hint="eastAsia" w:cs="宋体"/>
          <w:b w:val="0"/>
          <w:bCs/>
          <w:lang w:eastAsia="zh-CN"/>
        </w:rPr>
        <w:t>采购人</w:t>
      </w:r>
      <w:r>
        <w:rPr>
          <w:rFonts w:hint="eastAsia" w:ascii="宋体" w:hAnsi="宋体" w:cs="宋体"/>
          <w:b w:val="0"/>
          <w:bCs/>
        </w:rPr>
        <w:t>报告，并提供备件同时采取积极有效措施予以保障。</w:t>
      </w:r>
    </w:p>
    <w:p w14:paraId="6374AF8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highlight w:val="none"/>
        </w:rPr>
      </w:pPr>
      <w:r>
        <w:rPr>
          <w:rFonts w:hint="eastAsia"/>
          <w:b w:val="0"/>
          <w:bCs/>
          <w:highlight w:val="none"/>
          <w:lang w:val="en-US" w:eastAsia="zh-CN"/>
        </w:rPr>
        <w:t>11.</w:t>
      </w:r>
      <w:r>
        <w:rPr>
          <w:rFonts w:hint="eastAsia" w:cs="宋体"/>
          <w:b w:val="0"/>
          <w:bCs/>
          <w:highlight w:val="none"/>
          <w:lang w:eastAsia="zh-CN"/>
        </w:rPr>
        <w:t>成交供应商</w:t>
      </w:r>
      <w:r>
        <w:rPr>
          <w:rFonts w:hint="eastAsia" w:ascii="宋体" w:hAnsi="宋体" w:cs="宋体"/>
          <w:b w:val="0"/>
          <w:bCs/>
          <w:highlight w:val="none"/>
        </w:rPr>
        <w:t>应每季按照消防规范要求进行设备年度检测并出具消防机构认可的设备检测报告，</w:t>
      </w:r>
      <w:r>
        <w:rPr>
          <w:rFonts w:hint="eastAsia" w:ascii="新宋体" w:hAnsi="新宋体" w:eastAsia="新宋体" w:cs="新宋体"/>
          <w:b w:val="0"/>
          <w:bCs/>
          <w:highlight w:val="none"/>
        </w:rPr>
        <w:t>每个结算周期对场所内所有消防设施设备进行全覆盖，</w:t>
      </w:r>
      <w:r>
        <w:rPr>
          <w:rFonts w:hint="eastAsia" w:ascii="宋体" w:hAnsi="宋体" w:cs="宋体"/>
          <w:b w:val="0"/>
          <w:bCs/>
          <w:highlight w:val="none"/>
        </w:rPr>
        <w:t>在规定的时间内向公安消防部门报告相应的情况，并随时保证消防设施检查合格，对检测和维修保养的消防设施负责。在</w:t>
      </w:r>
      <w:r>
        <w:rPr>
          <w:rFonts w:hint="eastAsia" w:cs="宋体"/>
          <w:b w:val="0"/>
          <w:bCs/>
          <w:highlight w:val="none"/>
          <w:lang w:eastAsia="zh-CN"/>
        </w:rPr>
        <w:t>成交供应商</w:t>
      </w:r>
      <w:r>
        <w:rPr>
          <w:rFonts w:hint="eastAsia" w:ascii="宋体" w:hAnsi="宋体" w:cs="宋体"/>
          <w:b w:val="0"/>
          <w:bCs/>
          <w:highlight w:val="none"/>
        </w:rPr>
        <w:t>维修保养期间，如遇消防主管部门检查或其他上级有关消防安全方面的检查，</w:t>
      </w:r>
      <w:r>
        <w:rPr>
          <w:rFonts w:hint="eastAsia" w:cs="宋体"/>
          <w:b w:val="0"/>
          <w:bCs/>
          <w:highlight w:val="none"/>
          <w:lang w:eastAsia="zh-CN"/>
        </w:rPr>
        <w:t>成交供应商</w:t>
      </w:r>
      <w:r>
        <w:rPr>
          <w:rFonts w:hint="eastAsia" w:ascii="宋体" w:hAnsi="宋体" w:cs="宋体"/>
          <w:b w:val="0"/>
          <w:bCs/>
          <w:highlight w:val="none"/>
        </w:rPr>
        <w:t>须指定专业人员在场指导、配合检查。</w:t>
      </w:r>
    </w:p>
    <w:p w14:paraId="40DE38C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highlight w:val="none"/>
        </w:rPr>
      </w:pPr>
      <w:r>
        <w:rPr>
          <w:rFonts w:hint="eastAsia"/>
          <w:b w:val="0"/>
          <w:bCs/>
          <w:highlight w:val="none"/>
          <w:lang w:val="en-US" w:eastAsia="zh-CN"/>
        </w:rPr>
        <w:t>12.</w:t>
      </w:r>
      <w:r>
        <w:rPr>
          <w:rFonts w:hint="eastAsia" w:ascii="宋体" w:hAnsi="宋体" w:cs="宋体"/>
          <w:b w:val="0"/>
          <w:bCs/>
          <w:highlight w:val="none"/>
        </w:rPr>
        <w:t>在</w:t>
      </w:r>
      <w:r>
        <w:rPr>
          <w:rFonts w:hint="eastAsia" w:cs="宋体"/>
          <w:b w:val="0"/>
          <w:bCs/>
          <w:highlight w:val="none"/>
          <w:lang w:eastAsia="zh-CN"/>
        </w:rPr>
        <w:t>成交</w:t>
      </w:r>
      <w:r>
        <w:rPr>
          <w:rFonts w:hint="eastAsia" w:cs="宋体"/>
          <w:highlight w:val="none"/>
          <w:lang w:eastAsia="zh-CN"/>
        </w:rPr>
        <w:t>供应商</w:t>
      </w:r>
      <w:r>
        <w:rPr>
          <w:rFonts w:hint="eastAsia" w:ascii="宋体" w:hAnsi="宋体" w:cs="宋体"/>
          <w:highlight w:val="none"/>
        </w:rPr>
        <w:t>维修保养期间，单价200元以下配件更换由</w:t>
      </w:r>
      <w:r>
        <w:rPr>
          <w:rFonts w:hint="eastAsia" w:cs="宋体"/>
          <w:highlight w:val="none"/>
          <w:lang w:eastAsia="zh-CN"/>
        </w:rPr>
        <w:t>成交供应商自行负责</w:t>
      </w:r>
      <w:r>
        <w:rPr>
          <w:rFonts w:hint="eastAsia" w:ascii="宋体" w:hAnsi="宋体" w:cs="宋体"/>
          <w:highlight w:val="none"/>
        </w:rPr>
        <w:t>；单价200元以上配件报</w:t>
      </w:r>
      <w:r>
        <w:rPr>
          <w:rFonts w:hint="eastAsia" w:cs="宋体"/>
          <w:highlight w:val="none"/>
          <w:lang w:eastAsia="zh-CN"/>
        </w:rPr>
        <w:t>采购人</w:t>
      </w:r>
      <w:r>
        <w:rPr>
          <w:rFonts w:hint="eastAsia" w:ascii="宋体" w:hAnsi="宋体" w:cs="宋体"/>
          <w:highlight w:val="none"/>
        </w:rPr>
        <w:t>备案，由</w:t>
      </w:r>
      <w:r>
        <w:rPr>
          <w:rFonts w:hint="eastAsia" w:cs="宋体"/>
          <w:highlight w:val="none"/>
          <w:lang w:eastAsia="zh-CN"/>
        </w:rPr>
        <w:t>采购人自行采购，成交供应商负责免费安装，</w:t>
      </w:r>
      <w:r>
        <w:rPr>
          <w:rFonts w:hint="eastAsia" w:ascii="宋体" w:hAnsi="宋体" w:cs="宋体"/>
          <w:bCs/>
          <w:highlight w:val="none"/>
        </w:rPr>
        <w:t>所有维修费均包含在维保费用里，不再另外支付；</w:t>
      </w:r>
      <w:r>
        <w:rPr>
          <w:rFonts w:hint="eastAsia" w:ascii="宋体" w:hAnsi="宋体" w:cs="宋体"/>
          <w:highlight w:val="none"/>
        </w:rPr>
        <w:t>单价5000元以上的配件报修除报</w:t>
      </w:r>
      <w:r>
        <w:rPr>
          <w:rFonts w:hint="eastAsia" w:cs="宋体"/>
          <w:highlight w:val="none"/>
          <w:lang w:eastAsia="zh-CN"/>
        </w:rPr>
        <w:t>采购人</w:t>
      </w:r>
      <w:r>
        <w:rPr>
          <w:rFonts w:hint="eastAsia" w:ascii="宋体" w:hAnsi="宋体" w:cs="宋体"/>
          <w:highlight w:val="none"/>
        </w:rPr>
        <w:t>备案外，须由</w:t>
      </w:r>
      <w:r>
        <w:rPr>
          <w:rFonts w:hint="eastAsia" w:cs="宋体"/>
          <w:highlight w:val="none"/>
          <w:lang w:eastAsia="zh-CN"/>
        </w:rPr>
        <w:t>采购人</w:t>
      </w:r>
      <w:r>
        <w:rPr>
          <w:rFonts w:hint="eastAsia" w:ascii="宋体" w:hAnsi="宋体" w:cs="宋体"/>
          <w:highlight w:val="none"/>
        </w:rPr>
        <w:t>委托第三方鉴定损坏程度后再由</w:t>
      </w:r>
      <w:r>
        <w:rPr>
          <w:rFonts w:hint="eastAsia" w:cs="宋体"/>
          <w:highlight w:val="none"/>
          <w:lang w:eastAsia="zh-CN"/>
        </w:rPr>
        <w:t>采购人</w:t>
      </w:r>
      <w:r>
        <w:rPr>
          <w:rFonts w:hint="eastAsia" w:ascii="宋体" w:hAnsi="宋体" w:cs="宋体"/>
          <w:highlight w:val="none"/>
        </w:rPr>
        <w:t>组织人员进行采购，</w:t>
      </w:r>
      <w:r>
        <w:rPr>
          <w:rFonts w:hint="eastAsia" w:cs="宋体"/>
          <w:bCs/>
          <w:highlight w:val="none"/>
          <w:lang w:eastAsia="zh-CN"/>
        </w:rPr>
        <w:t>采购人</w:t>
      </w:r>
      <w:r>
        <w:rPr>
          <w:rFonts w:hint="eastAsia" w:ascii="宋体" w:hAnsi="宋体" w:cs="宋体"/>
          <w:bCs/>
          <w:highlight w:val="none"/>
        </w:rPr>
        <w:t>只负责采购配件费，所有维修费均包含在维保费用里，不再另外支付</w:t>
      </w:r>
      <w:r>
        <w:rPr>
          <w:rFonts w:hint="eastAsia" w:ascii="宋体" w:hAnsi="宋体" w:cs="宋体"/>
          <w:highlight w:val="none"/>
        </w:rPr>
        <w:t>。</w:t>
      </w:r>
      <w:r>
        <w:rPr>
          <w:rFonts w:hint="eastAsia" w:cs="宋体"/>
          <w:highlight w:val="none"/>
          <w:lang w:eastAsia="zh-CN"/>
        </w:rPr>
        <w:t>成交供应商</w:t>
      </w:r>
      <w:r>
        <w:rPr>
          <w:rFonts w:hint="eastAsia" w:ascii="宋体" w:hAnsi="宋体" w:cs="宋体"/>
          <w:highlight w:val="none"/>
        </w:rPr>
        <w:t>需提交常见故障维修和维保要求里面需要更换备品备件的报价清单（按施工验收规范后面说明的备品备件的数量要求格式和内容进行），清单中应至少包含配件的名称﹑品牌﹑型号，价格等，并经</w:t>
      </w:r>
      <w:r>
        <w:rPr>
          <w:rFonts w:hint="eastAsia" w:cs="宋体"/>
          <w:highlight w:val="none"/>
          <w:lang w:eastAsia="zh-CN"/>
        </w:rPr>
        <w:t>采购人</w:t>
      </w:r>
      <w:r>
        <w:rPr>
          <w:rFonts w:hint="eastAsia" w:ascii="宋体" w:hAnsi="宋体" w:cs="宋体"/>
          <w:highlight w:val="none"/>
        </w:rPr>
        <w:t>、</w:t>
      </w:r>
      <w:r>
        <w:rPr>
          <w:rFonts w:hint="eastAsia" w:cs="宋体"/>
          <w:highlight w:val="none"/>
          <w:lang w:eastAsia="zh-CN"/>
        </w:rPr>
        <w:t>成交供应商</w:t>
      </w:r>
      <w:r>
        <w:rPr>
          <w:rFonts w:hint="eastAsia" w:ascii="宋体" w:hAnsi="宋体" w:cs="宋体"/>
          <w:highlight w:val="none"/>
        </w:rPr>
        <w:t>双方在签订维保合同时共同签字盖章确认后执行，在实际维保过程中，</w:t>
      </w:r>
      <w:r>
        <w:rPr>
          <w:rFonts w:hint="eastAsia" w:cs="宋体"/>
          <w:highlight w:val="none"/>
          <w:lang w:eastAsia="zh-CN"/>
        </w:rPr>
        <w:t>成交供应商</w:t>
      </w:r>
      <w:r>
        <w:rPr>
          <w:rFonts w:hint="eastAsia" w:ascii="宋体" w:hAnsi="宋体" w:cs="宋体"/>
          <w:highlight w:val="none"/>
        </w:rPr>
        <w:t>所报200元以上的配件若经</w:t>
      </w:r>
      <w:r>
        <w:rPr>
          <w:rFonts w:hint="eastAsia" w:cs="宋体"/>
          <w:highlight w:val="none"/>
          <w:lang w:eastAsia="zh-CN"/>
        </w:rPr>
        <w:t>采购人</w:t>
      </w:r>
      <w:r>
        <w:rPr>
          <w:rFonts w:hint="eastAsia" w:ascii="宋体" w:hAnsi="宋体" w:cs="宋体"/>
          <w:highlight w:val="none"/>
        </w:rPr>
        <w:t>市场调查后单价在200元以下，则</w:t>
      </w:r>
      <w:r>
        <w:rPr>
          <w:rFonts w:hint="eastAsia" w:cs="宋体"/>
          <w:highlight w:val="none"/>
          <w:lang w:eastAsia="zh-CN"/>
        </w:rPr>
        <w:t>采购人</w:t>
      </w:r>
      <w:r>
        <w:rPr>
          <w:rFonts w:hint="eastAsia" w:ascii="宋体" w:hAnsi="宋体" w:cs="宋体"/>
          <w:highlight w:val="none"/>
        </w:rPr>
        <w:t>不需支付更换配件费用。</w:t>
      </w:r>
    </w:p>
    <w:p w14:paraId="5D689F6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eastAsia" w:ascii="宋体" w:hAnsi="宋体" w:eastAsia="宋体" w:cs="宋体"/>
          <w:highlight w:val="none"/>
          <w:lang w:eastAsia="zh-CN"/>
        </w:rPr>
      </w:pPr>
      <w:r>
        <w:rPr>
          <w:rFonts w:hint="eastAsia" w:ascii="宋体" w:hAnsi="宋体" w:cs="宋体"/>
          <w:highlight w:val="none"/>
        </w:rPr>
        <w:t>200元以下更换</w:t>
      </w:r>
      <w:r>
        <w:rPr>
          <w:rFonts w:hint="eastAsia" w:ascii="宋体" w:hAnsi="宋体" w:cs="宋体"/>
          <w:highlight w:val="none"/>
          <w:lang w:eastAsia="zh-CN"/>
        </w:rPr>
        <w:t>配件表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7546"/>
      </w:tblGrid>
      <w:tr w14:paraId="1696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3057CB3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序号</w:t>
            </w:r>
          </w:p>
        </w:tc>
        <w:tc>
          <w:tcPr>
            <w:tcW w:w="7546" w:type="dxa"/>
            <w:vAlign w:val="center"/>
          </w:tcPr>
          <w:p w14:paraId="210EC60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名称</w:t>
            </w:r>
          </w:p>
        </w:tc>
      </w:tr>
      <w:tr w14:paraId="57B1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4E7988E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1</w:t>
            </w:r>
          </w:p>
        </w:tc>
        <w:tc>
          <w:tcPr>
            <w:tcW w:w="7546" w:type="dxa"/>
            <w:vAlign w:val="center"/>
          </w:tcPr>
          <w:p w14:paraId="62B6179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烟感</w:t>
            </w:r>
          </w:p>
        </w:tc>
      </w:tr>
      <w:tr w14:paraId="0201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7A987B7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2</w:t>
            </w:r>
          </w:p>
        </w:tc>
        <w:tc>
          <w:tcPr>
            <w:tcW w:w="7546" w:type="dxa"/>
            <w:vAlign w:val="center"/>
          </w:tcPr>
          <w:p w14:paraId="599B8AB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湿感</w:t>
            </w:r>
          </w:p>
        </w:tc>
      </w:tr>
      <w:tr w14:paraId="523C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1C05A21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3</w:t>
            </w:r>
          </w:p>
        </w:tc>
        <w:tc>
          <w:tcPr>
            <w:tcW w:w="7546" w:type="dxa"/>
            <w:vAlign w:val="center"/>
          </w:tcPr>
          <w:p w14:paraId="5C00249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声光</w:t>
            </w:r>
          </w:p>
        </w:tc>
      </w:tr>
      <w:tr w14:paraId="49EE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3575F1B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4</w:t>
            </w:r>
          </w:p>
        </w:tc>
        <w:tc>
          <w:tcPr>
            <w:tcW w:w="7546" w:type="dxa"/>
            <w:vAlign w:val="center"/>
          </w:tcPr>
          <w:p w14:paraId="6393D3B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手报</w:t>
            </w:r>
          </w:p>
        </w:tc>
      </w:tr>
      <w:tr w14:paraId="3870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342729C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5</w:t>
            </w:r>
          </w:p>
        </w:tc>
        <w:tc>
          <w:tcPr>
            <w:tcW w:w="7546" w:type="dxa"/>
            <w:vAlign w:val="center"/>
          </w:tcPr>
          <w:p w14:paraId="6B875CD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消防栓按钮</w:t>
            </w:r>
          </w:p>
        </w:tc>
      </w:tr>
      <w:tr w14:paraId="14DA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126A9B2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6</w:t>
            </w:r>
          </w:p>
        </w:tc>
        <w:tc>
          <w:tcPr>
            <w:tcW w:w="7546" w:type="dxa"/>
            <w:vAlign w:val="center"/>
          </w:tcPr>
          <w:p w14:paraId="1CC4350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输入模块</w:t>
            </w:r>
          </w:p>
        </w:tc>
      </w:tr>
      <w:tr w14:paraId="4DBF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54EF935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7</w:t>
            </w:r>
          </w:p>
        </w:tc>
        <w:tc>
          <w:tcPr>
            <w:tcW w:w="7546" w:type="dxa"/>
            <w:vAlign w:val="center"/>
          </w:tcPr>
          <w:p w14:paraId="5713033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输出模块</w:t>
            </w:r>
          </w:p>
        </w:tc>
      </w:tr>
      <w:tr w14:paraId="5896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11B21A8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8</w:t>
            </w:r>
          </w:p>
        </w:tc>
        <w:tc>
          <w:tcPr>
            <w:tcW w:w="7546" w:type="dxa"/>
            <w:vAlign w:val="center"/>
          </w:tcPr>
          <w:p w14:paraId="6EEFA6D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输入输出模块</w:t>
            </w:r>
          </w:p>
        </w:tc>
      </w:tr>
      <w:tr w14:paraId="2C81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1881566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9</w:t>
            </w:r>
          </w:p>
        </w:tc>
        <w:tc>
          <w:tcPr>
            <w:tcW w:w="7546" w:type="dxa"/>
            <w:vAlign w:val="center"/>
          </w:tcPr>
          <w:p w14:paraId="1751352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隔离模块</w:t>
            </w:r>
          </w:p>
        </w:tc>
      </w:tr>
      <w:tr w14:paraId="234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7FCB175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10</w:t>
            </w:r>
          </w:p>
        </w:tc>
        <w:tc>
          <w:tcPr>
            <w:tcW w:w="7546" w:type="dxa"/>
            <w:vAlign w:val="center"/>
          </w:tcPr>
          <w:p w14:paraId="5ADF605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继电器</w:t>
            </w:r>
          </w:p>
        </w:tc>
      </w:tr>
      <w:tr w14:paraId="4F8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47A1FBA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11</w:t>
            </w:r>
          </w:p>
        </w:tc>
        <w:tc>
          <w:tcPr>
            <w:tcW w:w="7546" w:type="dxa"/>
            <w:vAlign w:val="center"/>
          </w:tcPr>
          <w:p w14:paraId="0F07807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扬声器</w:t>
            </w:r>
          </w:p>
        </w:tc>
      </w:tr>
      <w:tr w14:paraId="71FE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2966F72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12</w:t>
            </w:r>
          </w:p>
        </w:tc>
        <w:tc>
          <w:tcPr>
            <w:tcW w:w="7546" w:type="dxa"/>
            <w:vAlign w:val="center"/>
          </w:tcPr>
          <w:p w14:paraId="1BB69D9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专业消防电话</w:t>
            </w:r>
          </w:p>
        </w:tc>
      </w:tr>
      <w:tr w14:paraId="1E70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2AAF613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13</w:t>
            </w:r>
          </w:p>
        </w:tc>
        <w:tc>
          <w:tcPr>
            <w:tcW w:w="7546" w:type="dxa"/>
            <w:vAlign w:val="center"/>
          </w:tcPr>
          <w:p w14:paraId="7B37CBC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安全出口灯</w:t>
            </w:r>
          </w:p>
        </w:tc>
      </w:tr>
      <w:tr w14:paraId="70CF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0B73226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14</w:t>
            </w:r>
          </w:p>
        </w:tc>
        <w:tc>
          <w:tcPr>
            <w:tcW w:w="7546" w:type="dxa"/>
            <w:vAlign w:val="center"/>
          </w:tcPr>
          <w:p w14:paraId="72E3476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应急灯</w:t>
            </w:r>
          </w:p>
        </w:tc>
      </w:tr>
      <w:tr w14:paraId="0C7E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317F6E5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15</w:t>
            </w:r>
          </w:p>
        </w:tc>
        <w:tc>
          <w:tcPr>
            <w:tcW w:w="7546" w:type="dxa"/>
            <w:vAlign w:val="center"/>
          </w:tcPr>
          <w:p w14:paraId="5071CA2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疏散指示灯</w:t>
            </w:r>
          </w:p>
        </w:tc>
      </w:tr>
      <w:tr w14:paraId="37C9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0571FEF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16</w:t>
            </w:r>
          </w:p>
        </w:tc>
        <w:tc>
          <w:tcPr>
            <w:tcW w:w="7546" w:type="dxa"/>
            <w:vAlign w:val="center"/>
          </w:tcPr>
          <w:p w14:paraId="3D4CF6A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消防箱门柜</w:t>
            </w:r>
          </w:p>
        </w:tc>
      </w:tr>
      <w:tr w14:paraId="7362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6A83E8F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17</w:t>
            </w:r>
          </w:p>
        </w:tc>
        <w:tc>
          <w:tcPr>
            <w:tcW w:w="7546" w:type="dxa"/>
            <w:vAlign w:val="center"/>
          </w:tcPr>
          <w:p w14:paraId="2BC7F58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消防箱面板</w:t>
            </w:r>
          </w:p>
        </w:tc>
      </w:tr>
      <w:tr w14:paraId="0530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3F01E7C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18</w:t>
            </w:r>
          </w:p>
        </w:tc>
        <w:tc>
          <w:tcPr>
            <w:tcW w:w="7546" w:type="dxa"/>
            <w:vAlign w:val="center"/>
          </w:tcPr>
          <w:p w14:paraId="1B199DD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压力表</w:t>
            </w:r>
          </w:p>
        </w:tc>
      </w:tr>
      <w:tr w14:paraId="6A52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24BBB01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19</w:t>
            </w:r>
          </w:p>
        </w:tc>
        <w:tc>
          <w:tcPr>
            <w:tcW w:w="7546" w:type="dxa"/>
            <w:vAlign w:val="center"/>
          </w:tcPr>
          <w:p w14:paraId="73CA393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保险管</w:t>
            </w:r>
          </w:p>
        </w:tc>
      </w:tr>
      <w:tr w14:paraId="0509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57997B9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20</w:t>
            </w:r>
          </w:p>
        </w:tc>
        <w:tc>
          <w:tcPr>
            <w:tcW w:w="7546" w:type="dxa"/>
            <w:vAlign w:val="center"/>
          </w:tcPr>
          <w:p w14:paraId="35D8B5C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消防栓头</w:t>
            </w:r>
          </w:p>
        </w:tc>
      </w:tr>
      <w:tr w14:paraId="6D88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7335CB5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21</w:t>
            </w:r>
          </w:p>
        </w:tc>
        <w:tc>
          <w:tcPr>
            <w:tcW w:w="7546" w:type="dxa"/>
            <w:vAlign w:val="center"/>
          </w:tcPr>
          <w:p w14:paraId="73849C1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控制柜指示灯</w:t>
            </w:r>
          </w:p>
        </w:tc>
      </w:tr>
      <w:tr w14:paraId="3F28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2" w:type="dxa"/>
            <w:vAlign w:val="center"/>
          </w:tcPr>
          <w:p w14:paraId="6DB51F4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22</w:t>
            </w:r>
          </w:p>
        </w:tc>
        <w:tc>
          <w:tcPr>
            <w:tcW w:w="7546" w:type="dxa"/>
            <w:vAlign w:val="center"/>
          </w:tcPr>
          <w:p w14:paraId="428D8C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highlight w:val="none"/>
                <w:vertAlign w:val="baseline"/>
                <w:lang w:eastAsia="zh-CN"/>
              </w:rPr>
            </w:pPr>
            <w:r>
              <w:rPr>
                <w:rFonts w:hint="eastAsia" w:ascii="宋体" w:hAnsi="宋体" w:cs="宋体"/>
                <w:highlight w:val="none"/>
                <w:vertAlign w:val="baseline"/>
                <w:lang w:eastAsia="zh-CN"/>
              </w:rPr>
              <w:t>标识标贴</w:t>
            </w:r>
          </w:p>
        </w:tc>
      </w:tr>
    </w:tbl>
    <w:p w14:paraId="29BB749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highlight w:val="none"/>
        </w:rPr>
      </w:pPr>
      <w:r>
        <w:rPr>
          <w:rFonts w:hint="eastAsia"/>
          <w:b w:val="0"/>
          <w:bCs/>
          <w:highlight w:val="none"/>
          <w:lang w:val="en-US" w:eastAsia="zh-CN"/>
        </w:rPr>
        <w:t>13.</w:t>
      </w:r>
      <w:r>
        <w:rPr>
          <w:rFonts w:hint="eastAsia" w:cs="宋体"/>
          <w:b w:val="0"/>
          <w:bCs/>
          <w:highlight w:val="none"/>
          <w:lang w:eastAsia="zh-CN"/>
        </w:rPr>
        <w:t>成交供应商</w:t>
      </w:r>
      <w:r>
        <w:rPr>
          <w:rFonts w:hint="eastAsia" w:ascii="宋体" w:hAnsi="宋体" w:cs="宋体"/>
          <w:b w:val="0"/>
          <w:bCs/>
          <w:highlight w:val="none"/>
        </w:rPr>
        <w:t>负责培训指导</w:t>
      </w:r>
      <w:r>
        <w:rPr>
          <w:rFonts w:hint="eastAsia" w:cs="宋体"/>
          <w:b w:val="0"/>
          <w:bCs/>
          <w:highlight w:val="none"/>
          <w:lang w:eastAsia="zh-CN"/>
        </w:rPr>
        <w:t>采购人</w:t>
      </w:r>
      <w:r>
        <w:rPr>
          <w:rFonts w:hint="eastAsia" w:ascii="宋体" w:hAnsi="宋体" w:cs="宋体"/>
          <w:b w:val="0"/>
          <w:bCs/>
          <w:highlight w:val="none"/>
        </w:rPr>
        <w:t>相关工作人员正确使用每个系统，每半年培训不少于1次。并有培训教材、培训记录及培训人的签名。</w:t>
      </w:r>
    </w:p>
    <w:p w14:paraId="03B35F2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b w:val="0"/>
          <w:bCs/>
          <w:highlight w:val="none"/>
        </w:rPr>
      </w:pPr>
      <w:r>
        <w:rPr>
          <w:rFonts w:hint="eastAsia"/>
          <w:b w:val="0"/>
          <w:bCs/>
          <w:highlight w:val="none"/>
          <w:lang w:val="en-US" w:eastAsia="zh-CN"/>
        </w:rPr>
        <w:t>14.</w:t>
      </w:r>
      <w:r>
        <w:rPr>
          <w:rFonts w:hint="eastAsia" w:cs="宋体"/>
          <w:b w:val="0"/>
          <w:bCs/>
          <w:highlight w:val="none"/>
          <w:lang w:eastAsia="zh-CN"/>
        </w:rPr>
        <w:t>成交供应商</w:t>
      </w:r>
      <w:r>
        <w:rPr>
          <w:rFonts w:hint="eastAsia" w:ascii="宋体" w:hAnsi="宋体" w:cs="宋体"/>
          <w:b w:val="0"/>
          <w:bCs/>
          <w:highlight w:val="none"/>
        </w:rPr>
        <w:t>进场维保时必须有</w:t>
      </w:r>
      <w:r>
        <w:rPr>
          <w:rFonts w:hint="eastAsia" w:cs="宋体"/>
          <w:b w:val="0"/>
          <w:bCs/>
          <w:highlight w:val="none"/>
          <w:lang w:eastAsia="zh-CN"/>
        </w:rPr>
        <w:t>采购人</w:t>
      </w:r>
      <w:r>
        <w:rPr>
          <w:rFonts w:hint="eastAsia" w:ascii="宋体" w:hAnsi="宋体" w:cs="宋体"/>
          <w:b w:val="0"/>
          <w:bCs/>
          <w:highlight w:val="none"/>
        </w:rPr>
        <w:t>管理部门人员在场。</w:t>
      </w:r>
    </w:p>
    <w:p w14:paraId="15602D5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b w:val="0"/>
          <w:bCs/>
          <w:highlight w:val="none"/>
        </w:rPr>
      </w:pPr>
      <w:r>
        <w:rPr>
          <w:rFonts w:hint="eastAsia"/>
          <w:b w:val="0"/>
          <w:bCs/>
          <w:highlight w:val="none"/>
          <w:lang w:val="en-US" w:eastAsia="zh-CN"/>
        </w:rPr>
        <w:t>15.</w:t>
      </w:r>
      <w:r>
        <w:rPr>
          <w:rFonts w:hint="eastAsia" w:ascii="宋体" w:hAnsi="宋体" w:cs="宋体"/>
          <w:b w:val="0"/>
          <w:bCs/>
          <w:highlight w:val="none"/>
        </w:rPr>
        <w:t>在合同期满前，</w:t>
      </w:r>
      <w:r>
        <w:rPr>
          <w:rFonts w:hint="eastAsia" w:cs="宋体"/>
          <w:b w:val="0"/>
          <w:bCs/>
          <w:highlight w:val="none"/>
          <w:lang w:eastAsia="zh-CN"/>
        </w:rPr>
        <w:t>成交供应商</w:t>
      </w:r>
      <w:r>
        <w:rPr>
          <w:rFonts w:hint="eastAsia" w:ascii="宋体" w:hAnsi="宋体" w:cs="宋体"/>
          <w:b w:val="0"/>
          <w:bCs/>
          <w:highlight w:val="none"/>
        </w:rPr>
        <w:t>必须保证</w:t>
      </w:r>
      <w:r>
        <w:rPr>
          <w:rFonts w:hint="eastAsia" w:cs="宋体"/>
          <w:b w:val="0"/>
          <w:bCs/>
          <w:highlight w:val="none"/>
          <w:lang w:eastAsia="zh-CN"/>
        </w:rPr>
        <w:t>采购人</w:t>
      </w:r>
      <w:r>
        <w:rPr>
          <w:rFonts w:hint="eastAsia" w:ascii="宋体" w:hAnsi="宋体" w:cs="宋体"/>
          <w:b w:val="0"/>
          <w:bCs/>
          <w:highlight w:val="none"/>
        </w:rPr>
        <w:t>所有的消防系统能够正常运行，并将相关维保记录材料和属于</w:t>
      </w:r>
      <w:r>
        <w:rPr>
          <w:rFonts w:hint="eastAsia" w:cs="宋体"/>
          <w:b w:val="0"/>
          <w:bCs/>
          <w:highlight w:val="none"/>
          <w:lang w:eastAsia="zh-CN"/>
        </w:rPr>
        <w:t>采购人</w:t>
      </w:r>
      <w:r>
        <w:rPr>
          <w:rFonts w:hint="eastAsia" w:ascii="宋体" w:hAnsi="宋体" w:cs="宋体"/>
          <w:b w:val="0"/>
          <w:bCs/>
          <w:highlight w:val="none"/>
        </w:rPr>
        <w:t>的施工图纸等移交给</w:t>
      </w:r>
      <w:r>
        <w:rPr>
          <w:rFonts w:hint="eastAsia" w:cs="宋体"/>
          <w:b w:val="0"/>
          <w:bCs/>
          <w:highlight w:val="none"/>
          <w:lang w:eastAsia="zh-CN"/>
        </w:rPr>
        <w:t>采购人</w:t>
      </w:r>
      <w:r>
        <w:rPr>
          <w:rFonts w:hint="eastAsia" w:ascii="宋体" w:hAnsi="宋体" w:cs="宋体"/>
          <w:b w:val="0"/>
          <w:bCs/>
          <w:highlight w:val="none"/>
        </w:rPr>
        <w:t>管理部门。要认真办理项目移交和新的成交供应商交接手续，若未按要求办理移交手续的，</w:t>
      </w:r>
      <w:r>
        <w:rPr>
          <w:rFonts w:hint="eastAsia" w:cs="宋体"/>
          <w:b w:val="0"/>
          <w:bCs/>
          <w:highlight w:val="none"/>
          <w:lang w:eastAsia="zh-CN"/>
        </w:rPr>
        <w:t>采购人</w:t>
      </w:r>
      <w:r>
        <w:rPr>
          <w:rFonts w:hint="eastAsia" w:ascii="宋体" w:hAnsi="宋体" w:cs="宋体"/>
          <w:b w:val="0"/>
          <w:bCs/>
          <w:highlight w:val="none"/>
        </w:rPr>
        <w:t>有权不退还履约保证金。</w:t>
      </w:r>
    </w:p>
    <w:p w14:paraId="3A39456D">
      <w:pPr>
        <w:widowControl/>
        <w:spacing w:line="360" w:lineRule="auto"/>
        <w:jc w:val="left"/>
        <w:rPr>
          <w:rFonts w:hint="eastAsia" w:ascii="宋体" w:hAnsi="宋体" w:cs="宋体"/>
          <w:b/>
          <w:bCs/>
          <w:color w:val="auto"/>
          <w:kern w:val="0"/>
          <w:sz w:val="24"/>
          <w:highlight w:val="none"/>
        </w:rPr>
      </w:pPr>
    </w:p>
    <w:p w14:paraId="4A0C1CD0">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4EB30BA2">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rPr>
      </w:pPr>
      <w:bookmarkStart w:id="14" w:name="OLE_LINK9"/>
      <w:r>
        <w:rPr>
          <w:rFonts w:hint="eastAsia" w:ascii="宋体" w:hAnsi="宋体" w:eastAsia="宋体" w:cs="宋体"/>
          <w:b/>
          <w:bCs/>
          <w:color w:val="auto"/>
          <w:kern w:val="0"/>
          <w:sz w:val="24"/>
          <w:highlight w:val="none"/>
        </w:rPr>
        <w:t>1.交付地点：</w:t>
      </w:r>
      <w:r>
        <w:rPr>
          <w:rFonts w:hint="eastAsia" w:ascii="宋体" w:hAnsi="宋体" w:eastAsia="宋体" w:cs="宋体"/>
          <w:b/>
          <w:bCs/>
          <w:color w:val="auto"/>
          <w:kern w:val="0"/>
          <w:sz w:val="24"/>
          <w:szCs w:val="24"/>
          <w:highlight w:val="none"/>
          <w:lang w:eastAsia="zh-CN"/>
        </w:rPr>
        <w:t>福建省</w:t>
      </w:r>
      <w:r>
        <w:rPr>
          <w:rFonts w:hint="eastAsia" w:ascii="宋体" w:hAnsi="宋体" w:eastAsia="宋体" w:cs="宋体"/>
          <w:b/>
          <w:bCs/>
          <w:color w:val="auto"/>
          <w:kern w:val="0"/>
          <w:sz w:val="24"/>
          <w:szCs w:val="24"/>
          <w:highlight w:val="none"/>
        </w:rPr>
        <w:t>福州市闽侯县南屿镇新南大道156号</w:t>
      </w:r>
      <w:r>
        <w:rPr>
          <w:rFonts w:hint="eastAsia" w:ascii="宋体" w:hAnsi="宋体" w:eastAsia="宋体" w:cs="宋体"/>
          <w:b/>
          <w:bCs/>
          <w:color w:val="auto"/>
          <w:kern w:val="0"/>
          <w:sz w:val="24"/>
          <w:highlight w:val="none"/>
        </w:rPr>
        <w:t>。</w:t>
      </w:r>
    </w:p>
    <w:p w14:paraId="08C042E1">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2.服务期限：2年，合同签订后7个工作日内安排维保服务</w:t>
      </w:r>
      <w:r>
        <w:rPr>
          <w:rFonts w:hint="eastAsia" w:ascii="宋体" w:hAnsi="宋体" w:eastAsia="宋体" w:cs="宋体"/>
          <w:b/>
          <w:bCs/>
          <w:color w:val="auto"/>
          <w:kern w:val="0"/>
          <w:sz w:val="24"/>
          <w:highlight w:val="none"/>
          <w:lang w:eastAsia="zh-CN"/>
        </w:rPr>
        <w:t>。</w:t>
      </w:r>
    </w:p>
    <w:p w14:paraId="7C98515F">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3.交付条件：按照竞价文件及合同要求完成各项服务要求</w:t>
      </w:r>
    </w:p>
    <w:p w14:paraId="4ABB8507">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4.</w:t>
      </w:r>
      <w:r>
        <w:rPr>
          <w:rFonts w:hint="eastAsia" w:ascii="宋体" w:hAnsi="宋体" w:eastAsia="宋体" w:cs="宋体"/>
          <w:b/>
          <w:bCs/>
          <w:color w:val="auto"/>
          <w:sz w:val="24"/>
          <w:highlight w:val="none"/>
        </w:rPr>
        <w:t>履约保证金</w:t>
      </w:r>
    </w:p>
    <w:p w14:paraId="08E91534">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履约保证金百分比：</w:t>
      </w:r>
      <w:r>
        <w:rPr>
          <w:rFonts w:hint="eastAsia" w:ascii="宋体" w:hAnsi="宋体" w:eastAsia="宋体" w:cs="宋体"/>
          <w:b/>
          <w:bCs/>
          <w:color w:val="auto"/>
          <w:kern w:val="0"/>
          <w:sz w:val="24"/>
          <w:highlight w:val="none"/>
          <w:u w:val="single"/>
        </w:rPr>
        <w:t>5</w:t>
      </w:r>
      <w:r>
        <w:rPr>
          <w:rFonts w:hint="eastAsia" w:ascii="宋体" w:hAnsi="宋体" w:eastAsia="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highlight w:val="none"/>
          <w:u w:val="single"/>
        </w:rPr>
        <w:t xml:space="preserve"> 5</w:t>
      </w:r>
      <w:r>
        <w:rPr>
          <w:rFonts w:hint="eastAsia" w:ascii="宋体" w:hAnsi="宋体" w:eastAsia="宋体" w:cs="宋体"/>
          <w:b/>
          <w:bCs/>
          <w:color w:val="auto"/>
          <w:kern w:val="0"/>
          <w:sz w:val="24"/>
          <w:highlight w:val="none"/>
        </w:rPr>
        <w:t>%履约保证金（若本项目成交供应商为大、中型企业的，履约保证金收取比例为合同总总价的5%；为小、微型企业的，履约保证金收取比例为合同总总价的4%，供应商若为小、微型企业，须在响应文件中提供小、微企业证明材料，否则视为大、中型企业。）。履约保证金在成交供应商履行完合同约定的全部事项且双方无未了事项的前提下，采购人在收到成交供应商提交书面申请等材料后30日内无息退还。</w:t>
      </w:r>
    </w:p>
    <w:p w14:paraId="435B76F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5.支付方式：每三个月结算一次，按合同总金额分八期支付。结算周期内服务内容经采购人验收合格后，成交</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须在下个结算周期的第一个月的5日内（遇法定公休日节假日顺延）向采购人提供全额增值税</w:t>
      </w:r>
      <w:r>
        <w:rPr>
          <w:rFonts w:hint="eastAsia" w:ascii="宋体" w:hAnsi="宋体" w:eastAsia="宋体" w:cs="宋体"/>
          <w:b/>
          <w:bCs/>
          <w:color w:val="auto"/>
          <w:sz w:val="24"/>
          <w:highlight w:val="none"/>
          <w:lang w:eastAsia="zh-CN"/>
        </w:rPr>
        <w:t>专用</w:t>
      </w:r>
      <w:r>
        <w:rPr>
          <w:rFonts w:hint="eastAsia" w:ascii="宋体" w:hAnsi="宋体" w:eastAsia="宋体" w:cs="宋体"/>
          <w:b/>
          <w:bCs/>
          <w:color w:val="auto"/>
          <w:sz w:val="24"/>
          <w:highlight w:val="none"/>
        </w:rPr>
        <w:t>发票及相关材料</w:t>
      </w:r>
      <w:r>
        <w:rPr>
          <w:rFonts w:hint="eastAsia" w:ascii="宋体" w:hAnsi="宋体" w:eastAsia="宋体" w:cs="宋体"/>
          <w:b/>
          <w:bCs/>
          <w:color w:val="auto"/>
          <w:sz w:val="24"/>
          <w:highlight w:val="none"/>
          <w:lang w:eastAsia="zh-CN"/>
        </w:rPr>
        <w:t>，</w:t>
      </w:r>
      <w:r>
        <w:rPr>
          <w:rFonts w:hint="eastAsia" w:ascii="宋体" w:hAnsi="宋体" w:eastAsia="宋体" w:cs="宋体"/>
          <w:b/>
          <w:bCs w:val="0"/>
          <w:kern w:val="0"/>
          <w:sz w:val="24"/>
          <w:szCs w:val="24"/>
        </w:rPr>
        <w:t>采购人在收到</w:t>
      </w:r>
      <w:r>
        <w:rPr>
          <w:rFonts w:hint="eastAsia" w:ascii="宋体" w:hAnsi="宋体" w:eastAsia="宋体" w:cs="宋体"/>
          <w:b/>
          <w:bCs w:val="0"/>
          <w:kern w:val="0"/>
          <w:sz w:val="24"/>
          <w:szCs w:val="24"/>
          <w:lang w:eastAsia="zh-CN"/>
        </w:rPr>
        <w:t>成交供应商</w:t>
      </w:r>
      <w:r>
        <w:rPr>
          <w:rFonts w:hint="eastAsia" w:ascii="宋体" w:hAnsi="宋体" w:eastAsia="宋体" w:cs="宋体"/>
          <w:b/>
          <w:bCs w:val="0"/>
          <w:kern w:val="0"/>
          <w:sz w:val="24"/>
          <w:szCs w:val="24"/>
        </w:rPr>
        <w:t>合法有效的增值税</w:t>
      </w:r>
      <w:r>
        <w:rPr>
          <w:rFonts w:hint="eastAsia" w:ascii="宋体" w:hAnsi="宋体" w:eastAsia="宋体" w:cs="宋体"/>
          <w:b/>
          <w:bCs w:val="0"/>
          <w:kern w:val="0"/>
          <w:sz w:val="24"/>
          <w:szCs w:val="24"/>
          <w:lang w:eastAsia="zh-CN"/>
        </w:rPr>
        <w:t>专用</w:t>
      </w:r>
      <w:r>
        <w:rPr>
          <w:rFonts w:hint="eastAsia" w:ascii="宋体" w:hAnsi="宋体" w:eastAsia="宋体" w:cs="宋体"/>
          <w:b/>
          <w:bCs w:val="0"/>
          <w:kern w:val="0"/>
          <w:sz w:val="24"/>
          <w:szCs w:val="24"/>
        </w:rPr>
        <w:t>发票等相关材料</w:t>
      </w:r>
      <w:r>
        <w:rPr>
          <w:rFonts w:hint="eastAsia" w:ascii="宋体" w:hAnsi="宋体" w:eastAsia="宋体" w:cs="宋体"/>
          <w:b/>
          <w:bCs w:val="0"/>
          <w:kern w:val="0"/>
          <w:sz w:val="24"/>
          <w:szCs w:val="24"/>
          <w:lang w:eastAsia="zh-CN"/>
        </w:rPr>
        <w:t>经审核</w:t>
      </w:r>
      <w:r>
        <w:rPr>
          <w:rFonts w:hint="eastAsia" w:ascii="宋体" w:hAnsi="宋体" w:eastAsia="宋体" w:cs="宋体"/>
          <w:b/>
          <w:bCs w:val="0"/>
          <w:kern w:val="0"/>
          <w:sz w:val="24"/>
          <w:szCs w:val="24"/>
        </w:rPr>
        <w:t>后</w:t>
      </w:r>
      <w:r>
        <w:rPr>
          <w:rFonts w:hint="eastAsia" w:ascii="宋体" w:hAnsi="宋体" w:eastAsia="宋体" w:cs="宋体"/>
          <w:b/>
          <w:bCs w:val="0"/>
          <w:kern w:val="0"/>
          <w:sz w:val="24"/>
          <w:szCs w:val="24"/>
          <w:lang w:val="en-US" w:eastAsia="zh-CN"/>
        </w:rPr>
        <w:t>30</w:t>
      </w:r>
      <w:r>
        <w:rPr>
          <w:rFonts w:hint="eastAsia" w:ascii="宋体" w:hAnsi="宋体" w:eastAsia="宋体" w:cs="宋体"/>
          <w:b/>
          <w:bCs w:val="0"/>
          <w:kern w:val="0"/>
          <w:sz w:val="24"/>
          <w:szCs w:val="24"/>
        </w:rPr>
        <w:t>日内将合同金额转入</w:t>
      </w:r>
      <w:r>
        <w:rPr>
          <w:rFonts w:hint="eastAsia" w:ascii="宋体" w:hAnsi="宋体" w:eastAsia="宋体" w:cs="宋体"/>
          <w:b/>
          <w:bCs w:val="0"/>
          <w:kern w:val="0"/>
          <w:sz w:val="24"/>
          <w:szCs w:val="24"/>
          <w:lang w:eastAsia="zh-CN"/>
        </w:rPr>
        <w:t>成交供应商</w:t>
      </w:r>
      <w:r>
        <w:rPr>
          <w:rFonts w:hint="eastAsia" w:ascii="宋体" w:hAnsi="宋体" w:eastAsia="宋体" w:cs="宋体"/>
          <w:b/>
          <w:bCs w:val="0"/>
          <w:kern w:val="0"/>
          <w:sz w:val="24"/>
          <w:szCs w:val="24"/>
        </w:rPr>
        <w:t>指定账户</w:t>
      </w:r>
      <w:r>
        <w:rPr>
          <w:rFonts w:hint="eastAsia" w:ascii="宋体" w:hAnsi="宋体" w:eastAsia="宋体" w:cs="宋体"/>
          <w:b/>
          <w:bCs/>
          <w:color w:val="auto"/>
          <w:sz w:val="24"/>
          <w:highlight w:val="none"/>
          <w:lang w:eastAsia="zh-CN"/>
        </w:rPr>
        <w:t>。</w:t>
      </w:r>
    </w:p>
    <w:p w14:paraId="37C396EB">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r>
        <w:rPr>
          <w:rFonts w:hint="eastAsia" w:ascii="宋体" w:hAnsi="宋体" w:eastAsia="宋体" w:cs="宋体"/>
          <w:b/>
          <w:bCs/>
          <w:kern w:val="2"/>
          <w:sz w:val="24"/>
          <w:szCs w:val="24"/>
          <w:lang w:val="en-US" w:eastAsia="zh-CN" w:bidi="ar-SA"/>
        </w:rPr>
        <w:t>验收方式</w:t>
      </w:r>
    </w:p>
    <w:p w14:paraId="5CF6A54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.1验收应按照</w:t>
      </w:r>
      <w:r>
        <w:rPr>
          <w:rFonts w:hint="eastAsia" w:ascii="宋体" w:hAnsi="宋体" w:eastAsia="宋体" w:cs="宋体"/>
          <w:lang w:eastAsia="zh-CN"/>
        </w:rPr>
        <w:t>网上</w:t>
      </w:r>
      <w:r>
        <w:rPr>
          <w:rFonts w:hint="eastAsia" w:ascii="宋体" w:hAnsi="宋体" w:eastAsia="宋体" w:cs="宋体"/>
        </w:rPr>
        <w:t>竞价</w:t>
      </w:r>
      <w:r>
        <w:rPr>
          <w:rFonts w:hint="eastAsia" w:ascii="宋体" w:hAnsi="宋体" w:eastAsia="宋体" w:cs="宋体"/>
          <w:kern w:val="0"/>
          <w:sz w:val="24"/>
        </w:rPr>
        <w:t>文件</w:t>
      </w:r>
      <w:r>
        <w:rPr>
          <w:rFonts w:hint="eastAsia" w:ascii="宋体" w:hAnsi="宋体" w:eastAsia="宋体" w:cs="宋体"/>
        </w:rPr>
        <w:t>、</w:t>
      </w:r>
      <w:r>
        <w:rPr>
          <w:rFonts w:hint="eastAsia" w:ascii="宋体" w:hAnsi="宋体" w:eastAsia="宋体" w:cs="宋体"/>
          <w:lang w:eastAsia="zh-CN"/>
        </w:rPr>
        <w:t>成交供应商响应</w:t>
      </w:r>
      <w:r>
        <w:rPr>
          <w:rFonts w:hint="eastAsia" w:ascii="宋体" w:hAnsi="宋体" w:eastAsia="宋体" w:cs="宋体"/>
        </w:rPr>
        <w:t>文件</w:t>
      </w:r>
      <w:r>
        <w:rPr>
          <w:rFonts w:hint="eastAsia" w:ascii="宋体" w:hAnsi="宋体" w:eastAsia="宋体" w:cs="宋体"/>
          <w:lang w:eastAsia="zh-CN"/>
        </w:rPr>
        <w:t>、合同</w:t>
      </w:r>
      <w:r>
        <w:rPr>
          <w:rFonts w:hint="eastAsia" w:ascii="宋体" w:hAnsi="宋体" w:eastAsia="宋体" w:cs="宋体"/>
        </w:rPr>
        <w:t>的规定或约定进行，具体如下：</w:t>
      </w:r>
    </w:p>
    <w:p w14:paraId="031AC9D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lang w:eastAsia="zh-CN"/>
        </w:rPr>
        <w:t>成交供应商</w:t>
      </w:r>
      <w:r>
        <w:rPr>
          <w:rFonts w:hint="eastAsia" w:ascii="宋体" w:hAnsi="宋体" w:eastAsia="宋体" w:cs="宋体"/>
        </w:rPr>
        <w:t>必须严格按照本</w:t>
      </w:r>
      <w:r>
        <w:rPr>
          <w:rFonts w:hint="eastAsia" w:ascii="宋体" w:hAnsi="宋体" w:eastAsia="宋体" w:cs="宋体"/>
          <w:lang w:eastAsia="zh-CN"/>
        </w:rPr>
        <w:t>项目</w:t>
      </w:r>
      <w:r>
        <w:rPr>
          <w:rFonts w:hint="eastAsia" w:ascii="宋体" w:hAnsi="宋体" w:eastAsia="宋体" w:cs="宋体"/>
        </w:rPr>
        <w:t>规定范围内设备安全标准、性能指标、维护要求进行维护保养工作，并出据一式两份的《消防系统维护保养工作单》书面保养记录，由</w:t>
      </w:r>
      <w:r>
        <w:rPr>
          <w:rFonts w:hint="eastAsia" w:ascii="宋体" w:hAnsi="宋体" w:eastAsia="宋体" w:cs="宋体"/>
          <w:lang w:eastAsia="zh-CN"/>
        </w:rPr>
        <w:t>采购人</w:t>
      </w:r>
      <w:r>
        <w:rPr>
          <w:rFonts w:hint="eastAsia" w:ascii="宋体" w:hAnsi="宋体" w:eastAsia="宋体" w:cs="宋体"/>
        </w:rPr>
        <w:t>专门人员签字认可。书面保养记录必须保证保养内容真实、准确，设备安全可靠运行。同时必须在月底填写《消防系统维保记录表》，内容要求真实，严禁谎报和误报工作项目及处理缺陷数目。</w:t>
      </w:r>
      <w:r>
        <w:rPr>
          <w:rFonts w:hint="eastAsia" w:ascii="宋体" w:hAnsi="宋体" w:eastAsia="宋体" w:cs="宋体"/>
          <w:lang w:eastAsia="zh-CN"/>
        </w:rPr>
        <w:t>成交供应商</w:t>
      </w:r>
      <w:r>
        <w:rPr>
          <w:rFonts w:hint="eastAsia" w:ascii="宋体" w:hAnsi="宋体" w:eastAsia="宋体" w:cs="宋体"/>
        </w:rPr>
        <w:t>应提供前述确认的工作单和保养月报作为</w:t>
      </w:r>
      <w:r>
        <w:rPr>
          <w:rFonts w:hint="eastAsia" w:ascii="宋体" w:hAnsi="宋体" w:eastAsia="宋体" w:cs="宋体"/>
          <w:lang w:eastAsia="zh-CN"/>
        </w:rPr>
        <w:t>采购人</w:t>
      </w:r>
      <w:r>
        <w:rPr>
          <w:rFonts w:hint="eastAsia" w:ascii="宋体" w:hAnsi="宋体" w:eastAsia="宋体" w:cs="宋体"/>
        </w:rPr>
        <w:t>维保金支付依据。</w:t>
      </w:r>
    </w:p>
    <w:p w14:paraId="1944980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.2</w:t>
      </w:r>
      <w:r>
        <w:rPr>
          <w:rFonts w:hint="eastAsia" w:ascii="宋体" w:hAnsi="宋体" w:eastAsia="宋体" w:cs="宋体"/>
          <w:lang w:eastAsia="zh-CN"/>
        </w:rPr>
        <w:t>成交供应商</w:t>
      </w:r>
      <w:r>
        <w:rPr>
          <w:rFonts w:hint="eastAsia" w:ascii="宋体" w:hAnsi="宋体" w:eastAsia="宋体" w:cs="宋体"/>
        </w:rPr>
        <w:t>对本合同维保范围内设备（消防系统）所出据的所有维保报告真实性、权威性负全责，并加盖相应公章。</w:t>
      </w:r>
    </w:p>
    <w:p w14:paraId="6B12B98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w:t>
      </w:r>
      <w:r>
        <w:rPr>
          <w:rFonts w:hint="eastAsia" w:ascii="宋体" w:hAnsi="宋体" w:eastAsia="宋体" w:cs="宋体"/>
          <w:lang w:eastAsia="zh-CN"/>
        </w:rPr>
        <w:t>成交供应商</w:t>
      </w:r>
      <w:r>
        <w:rPr>
          <w:rFonts w:hint="eastAsia" w:ascii="宋体" w:hAnsi="宋体" w:eastAsia="宋体" w:cs="宋体"/>
        </w:rPr>
        <w:t>随时抽查维保范围内消防系统的设备状况，对不符合相关管理规定的，</w:t>
      </w:r>
      <w:r>
        <w:rPr>
          <w:rFonts w:hint="eastAsia" w:ascii="宋体" w:hAnsi="宋体" w:eastAsia="宋体" w:cs="宋体"/>
          <w:lang w:eastAsia="zh-CN"/>
        </w:rPr>
        <w:t>成交供应商</w:t>
      </w:r>
      <w:r>
        <w:rPr>
          <w:rFonts w:hint="eastAsia" w:ascii="宋体" w:hAnsi="宋体" w:eastAsia="宋体" w:cs="宋体"/>
        </w:rPr>
        <w:t>有责任进行整改和接受相关处罚。</w:t>
      </w:r>
    </w:p>
    <w:p w14:paraId="62CCEAF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.4</w:t>
      </w:r>
      <w:r>
        <w:rPr>
          <w:rFonts w:hint="eastAsia" w:ascii="宋体" w:hAnsi="宋体" w:eastAsia="宋体" w:cs="宋体"/>
          <w:lang w:eastAsia="zh-CN"/>
        </w:rPr>
        <w:t>成交供应商</w:t>
      </w:r>
      <w:r>
        <w:rPr>
          <w:rFonts w:hint="eastAsia" w:ascii="宋体" w:hAnsi="宋体" w:eastAsia="宋体" w:cs="宋体"/>
        </w:rPr>
        <w:t>更换设备时不得使用旧件。</w:t>
      </w:r>
    </w:p>
    <w:p w14:paraId="6AAA0B27">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违约责任</w:t>
      </w:r>
    </w:p>
    <w:p w14:paraId="3B5290D7">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解除合同违约责任</w:t>
      </w:r>
    </w:p>
    <w:p w14:paraId="1A84068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签订合同后因</w:t>
      </w:r>
      <w:r>
        <w:rPr>
          <w:rFonts w:hint="eastAsia" w:ascii="宋体" w:hAnsi="宋体" w:eastAsia="宋体" w:cs="宋体"/>
          <w:sz w:val="24"/>
          <w:szCs w:val="24"/>
          <w:lang w:eastAsia="zh-CN"/>
        </w:rPr>
        <w:t>成交供应商</w:t>
      </w:r>
      <w:r>
        <w:rPr>
          <w:rFonts w:hint="eastAsia" w:ascii="宋体" w:hAnsi="宋体" w:eastAsia="宋体" w:cs="宋体"/>
          <w:sz w:val="24"/>
          <w:szCs w:val="24"/>
        </w:rPr>
        <w:t>任何违约行为导致本合同无法正常继续履行或提前终止，</w:t>
      </w:r>
      <w:r>
        <w:rPr>
          <w:rFonts w:hint="eastAsia" w:ascii="宋体" w:hAnsi="宋体" w:eastAsia="宋体" w:cs="宋体"/>
          <w:sz w:val="24"/>
          <w:szCs w:val="24"/>
          <w:lang w:eastAsia="zh-CN"/>
        </w:rPr>
        <w:t>采购人</w:t>
      </w:r>
      <w:r>
        <w:rPr>
          <w:rFonts w:hint="eastAsia" w:ascii="宋体" w:hAnsi="宋体" w:eastAsia="宋体" w:cs="宋体"/>
          <w:sz w:val="24"/>
          <w:szCs w:val="24"/>
        </w:rPr>
        <w:t>有权不予退还履约保证金。</w:t>
      </w:r>
    </w:p>
    <w:p w14:paraId="771FD0BF">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7.2进入</w:t>
      </w:r>
      <w:r>
        <w:rPr>
          <w:rFonts w:hint="eastAsia" w:ascii="宋体" w:hAnsi="宋体" w:eastAsia="宋体" w:cs="宋体"/>
          <w:b w:val="0"/>
          <w:bCs/>
          <w:highlight w:val="none"/>
          <w:lang w:val="en-US" w:eastAsia="zh-CN"/>
        </w:rPr>
        <w:t>生产区</w:t>
      </w:r>
      <w:r>
        <w:rPr>
          <w:rFonts w:hint="eastAsia" w:ascii="宋体" w:hAnsi="宋体" w:eastAsia="宋体" w:cs="宋体"/>
          <w:b w:val="0"/>
          <w:bCs w:val="0"/>
          <w:color w:val="auto"/>
          <w:sz w:val="24"/>
          <w:szCs w:val="24"/>
          <w:highlight w:val="none"/>
          <w:lang w:val="en-US" w:eastAsia="zh-CN"/>
        </w:rPr>
        <w:t>有关违约责任</w:t>
      </w:r>
    </w:p>
    <w:p w14:paraId="4D1CAB9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kern w:val="0"/>
          <w:sz w:val="24"/>
          <w:szCs w:val="24"/>
          <w:u w:val="none"/>
          <w:shd w:val="clear" w:color="auto" w:fill="auto"/>
          <w:lang w:val="en-US" w:eastAsia="zh-CN"/>
        </w:rPr>
      </w:pPr>
      <w:r>
        <w:rPr>
          <w:rFonts w:hint="eastAsia" w:ascii="宋体" w:hAnsi="宋体" w:eastAsia="宋体" w:cs="宋体"/>
          <w:b w:val="0"/>
          <w:bCs w:val="0"/>
          <w:color w:val="auto"/>
          <w:sz w:val="24"/>
          <w:szCs w:val="24"/>
          <w:highlight w:val="none"/>
          <w:lang w:val="en-US" w:eastAsia="zh-CN"/>
        </w:rPr>
        <w:t>成交供应商进入采购人</w:t>
      </w:r>
      <w:r>
        <w:rPr>
          <w:rFonts w:hint="eastAsia" w:ascii="宋体" w:hAnsi="宋体" w:eastAsia="宋体" w:cs="宋体"/>
          <w:b w:val="0"/>
          <w:bCs/>
          <w:highlight w:val="none"/>
          <w:lang w:val="en-US" w:eastAsia="zh-CN"/>
        </w:rPr>
        <w:t>生产区</w:t>
      </w:r>
      <w:r>
        <w:rPr>
          <w:rFonts w:hint="eastAsia" w:ascii="宋体" w:hAnsi="宋体" w:eastAsia="宋体" w:cs="宋体"/>
          <w:b w:val="0"/>
          <w:bCs w:val="0"/>
          <w:color w:val="auto"/>
          <w:sz w:val="24"/>
          <w:szCs w:val="24"/>
          <w:highlight w:val="none"/>
          <w:lang w:val="en-US" w:eastAsia="zh-CN"/>
        </w:rPr>
        <w:t>的工作人员必须遵守采购人的工作制度和监管安全规定，服从采购人人员的指挥，</w:t>
      </w:r>
      <w:r>
        <w:rPr>
          <w:rFonts w:hint="eastAsia" w:ascii="宋体" w:hAnsi="宋体" w:eastAsia="宋体" w:cs="宋体"/>
          <w:sz w:val="24"/>
          <w:szCs w:val="24"/>
          <w:lang w:eastAsia="zh-CN"/>
        </w:rPr>
        <w:t>进</w:t>
      </w:r>
      <w:r>
        <w:rPr>
          <w:rFonts w:hint="eastAsia" w:ascii="宋体" w:hAnsi="宋体" w:eastAsia="宋体" w:cs="宋体"/>
          <w:b w:val="0"/>
          <w:bCs/>
          <w:highlight w:val="none"/>
          <w:lang w:val="en-US" w:eastAsia="zh-CN"/>
        </w:rPr>
        <w:t>生产区</w:t>
      </w:r>
      <w:r>
        <w:rPr>
          <w:rFonts w:hint="eastAsia" w:ascii="宋体" w:hAnsi="宋体" w:eastAsia="宋体" w:cs="宋体"/>
          <w:sz w:val="24"/>
          <w:szCs w:val="24"/>
          <w:lang w:eastAsia="zh-CN"/>
        </w:rPr>
        <w:t>车辆及</w:t>
      </w:r>
      <w:r>
        <w:rPr>
          <w:rFonts w:hint="eastAsia" w:ascii="宋体" w:hAnsi="宋体" w:eastAsia="宋体" w:cs="宋体"/>
          <w:sz w:val="24"/>
          <w:szCs w:val="24"/>
        </w:rPr>
        <w:t>人员</w:t>
      </w:r>
      <w:r>
        <w:rPr>
          <w:rFonts w:hint="eastAsia" w:ascii="宋体" w:hAnsi="宋体" w:eastAsia="宋体" w:cs="宋体"/>
          <w:sz w:val="24"/>
          <w:szCs w:val="24"/>
          <w:lang w:eastAsia="zh-CN"/>
        </w:rPr>
        <w:t>违反采购人相关规定携带违禁物品（含</w:t>
      </w:r>
      <w:r>
        <w:rPr>
          <w:rFonts w:hint="eastAsia" w:ascii="宋体" w:hAnsi="宋体" w:eastAsia="宋体" w:cs="宋体"/>
          <w:b w:val="0"/>
          <w:bCs w:val="0"/>
          <w:color w:val="auto"/>
          <w:sz w:val="24"/>
          <w:szCs w:val="24"/>
          <w:highlight w:val="none"/>
          <w:lang w:val="en-US" w:eastAsia="zh-CN"/>
        </w:rPr>
        <w:t>传递信息、现金、手机、毒品、枪支、刀具、以及其他与进</w:t>
      </w:r>
      <w:r>
        <w:rPr>
          <w:rFonts w:hint="eastAsia" w:ascii="宋体" w:hAnsi="宋体" w:eastAsia="宋体" w:cs="宋体"/>
          <w:b w:val="0"/>
          <w:bCs/>
          <w:highlight w:val="none"/>
          <w:lang w:val="en-US" w:eastAsia="zh-CN"/>
        </w:rPr>
        <w:t>生产区</w:t>
      </w:r>
      <w:r>
        <w:rPr>
          <w:rFonts w:hint="eastAsia" w:ascii="宋体" w:hAnsi="宋体" w:eastAsia="宋体" w:cs="宋体"/>
          <w:b w:val="0"/>
          <w:bCs w:val="0"/>
          <w:color w:val="auto"/>
          <w:sz w:val="24"/>
          <w:szCs w:val="24"/>
          <w:highlight w:val="none"/>
          <w:lang w:val="en-US" w:eastAsia="zh-CN"/>
        </w:rPr>
        <w:t>服务无关物品等）</w:t>
      </w:r>
      <w:r>
        <w:rPr>
          <w:rFonts w:hint="eastAsia" w:ascii="宋体" w:hAnsi="宋体" w:eastAsia="宋体" w:cs="宋体"/>
          <w:sz w:val="24"/>
          <w:szCs w:val="24"/>
          <w:lang w:eastAsia="zh-CN"/>
        </w:rPr>
        <w:t>进</w:t>
      </w:r>
      <w:r>
        <w:rPr>
          <w:rFonts w:hint="eastAsia" w:ascii="宋体" w:hAnsi="宋体" w:eastAsia="宋体" w:cs="宋体"/>
          <w:b w:val="0"/>
          <w:bCs/>
          <w:highlight w:val="none"/>
          <w:lang w:val="en-US" w:eastAsia="zh-CN"/>
        </w:rPr>
        <w:t>生产区</w:t>
      </w:r>
      <w:r>
        <w:rPr>
          <w:rFonts w:hint="eastAsia" w:ascii="宋体" w:hAnsi="宋体" w:eastAsia="宋体" w:cs="宋体"/>
          <w:sz w:val="24"/>
          <w:szCs w:val="24"/>
        </w:rPr>
        <w:t>的</w:t>
      </w:r>
      <w:r>
        <w:rPr>
          <w:rFonts w:hint="eastAsia" w:ascii="宋体" w:hAnsi="宋体" w:eastAsia="宋体" w:cs="宋体"/>
          <w:b w:val="0"/>
          <w:bCs w:val="0"/>
          <w:color w:val="auto"/>
          <w:sz w:val="24"/>
          <w:szCs w:val="24"/>
          <w:highlight w:val="none"/>
          <w:lang w:val="en-US" w:eastAsia="zh-CN"/>
        </w:rPr>
        <w:t>，若有发现经核查属实的，成交供应商须马上更换工作人员，并向采购人支付1000元的违约金，违约金采购人有权直接从服务费用中扣除。发生二次（含）以上或造成严重后果的，采购人有权解除合同并不退还履约保证金，成交供应商还应承担相关的法律责任。</w:t>
      </w:r>
    </w:p>
    <w:p w14:paraId="150A042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b w:val="0"/>
          <w:bCs w:val="0"/>
          <w:kern w:val="0"/>
          <w:sz w:val="24"/>
          <w:szCs w:val="24"/>
          <w:u w:val="none"/>
          <w:shd w:val="clear" w:color="auto" w:fill="auto"/>
          <w:lang w:val="en-US" w:eastAsia="zh-CN"/>
        </w:rPr>
      </w:pPr>
      <w:r>
        <w:rPr>
          <w:rFonts w:hint="eastAsia" w:ascii="宋体" w:hAnsi="宋体" w:eastAsia="宋体" w:cs="宋体"/>
          <w:b w:val="0"/>
          <w:bCs w:val="0"/>
          <w:kern w:val="0"/>
          <w:sz w:val="24"/>
          <w:szCs w:val="24"/>
          <w:u w:val="none"/>
          <w:shd w:val="clear" w:color="auto" w:fill="auto"/>
          <w:lang w:val="en-US" w:eastAsia="zh-CN"/>
        </w:rPr>
        <w:t>7.3违反维保巡查要求的违约责任</w:t>
      </w:r>
    </w:p>
    <w:p w14:paraId="39B56A19">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b w:val="0"/>
          <w:bCs w:val="0"/>
          <w:kern w:val="0"/>
          <w:sz w:val="24"/>
          <w:szCs w:val="24"/>
          <w:u w:val="none"/>
          <w:shd w:val="clear" w:color="auto" w:fill="auto"/>
          <w:lang w:val="en-US" w:eastAsia="zh-CN"/>
        </w:rPr>
      </w:pPr>
      <w:r>
        <w:rPr>
          <w:rFonts w:hint="eastAsia" w:ascii="宋体" w:hAnsi="宋体" w:eastAsia="宋体" w:cs="宋体"/>
          <w:b w:val="0"/>
          <w:bCs w:val="0"/>
          <w:kern w:val="0"/>
          <w:sz w:val="24"/>
          <w:szCs w:val="24"/>
          <w:u w:val="none"/>
          <w:shd w:val="clear" w:color="auto" w:fill="auto"/>
          <w:lang w:val="en-US" w:eastAsia="zh-CN"/>
        </w:rPr>
        <w:t>7.3.1成交供应商在</w:t>
      </w:r>
      <w:r>
        <w:rPr>
          <w:rFonts w:hint="eastAsia" w:ascii="宋体" w:hAnsi="宋体" w:eastAsia="宋体" w:cs="宋体"/>
          <w:kern w:val="0"/>
          <w:sz w:val="24"/>
          <w:u w:val="none"/>
          <w:shd w:val="clear" w:color="auto" w:fill="auto"/>
          <w:lang w:eastAsia="zh-CN"/>
        </w:rPr>
        <w:t>法定工作日需安排不少于</w:t>
      </w:r>
      <w:r>
        <w:rPr>
          <w:rFonts w:hint="eastAsia" w:ascii="宋体" w:hAnsi="宋体" w:eastAsia="宋体" w:cs="宋体"/>
          <w:kern w:val="0"/>
          <w:sz w:val="24"/>
          <w:u w:val="none"/>
          <w:shd w:val="clear" w:color="auto" w:fill="auto"/>
          <w:lang w:val="en-US" w:eastAsia="zh-CN"/>
        </w:rPr>
        <w:t>1人</w:t>
      </w:r>
      <w:r>
        <w:rPr>
          <w:rFonts w:hint="eastAsia" w:ascii="宋体" w:hAnsi="宋体" w:eastAsia="宋体" w:cs="宋体"/>
          <w:kern w:val="0"/>
          <w:sz w:val="24"/>
          <w:u w:val="none"/>
          <w:shd w:val="clear" w:color="auto" w:fill="auto"/>
          <w:lang w:eastAsia="zh-CN"/>
        </w:rPr>
        <w:t>驻点，每天工作8小时，驻点人员应相对固定(不超过2个人)</w:t>
      </w:r>
      <w:r>
        <w:rPr>
          <w:rFonts w:hint="eastAsia" w:ascii="宋体" w:hAnsi="宋体" w:eastAsia="宋体" w:cs="宋体"/>
          <w:kern w:val="0"/>
          <w:sz w:val="24"/>
          <w:u w:val="none"/>
          <w:shd w:val="clear" w:color="auto" w:fill="auto"/>
        </w:rPr>
        <w:t>到</w:t>
      </w:r>
      <w:r>
        <w:rPr>
          <w:rFonts w:hint="eastAsia" w:ascii="宋体" w:hAnsi="宋体" w:eastAsia="宋体" w:cs="宋体"/>
          <w:kern w:val="0"/>
          <w:sz w:val="24"/>
          <w:u w:val="none"/>
          <w:shd w:val="clear" w:color="auto" w:fill="auto"/>
          <w:lang w:eastAsia="zh-CN"/>
        </w:rPr>
        <w:t>采购人</w:t>
      </w:r>
      <w:r>
        <w:rPr>
          <w:rFonts w:hint="eastAsia" w:ascii="宋体" w:hAnsi="宋体" w:eastAsia="宋体" w:cs="宋体"/>
          <w:kern w:val="0"/>
          <w:sz w:val="24"/>
          <w:u w:val="none"/>
          <w:shd w:val="clear" w:color="auto" w:fill="auto"/>
        </w:rPr>
        <w:t>指定地点负责消防设施设备的日常巡查和维保工作</w:t>
      </w:r>
      <w:r>
        <w:rPr>
          <w:rFonts w:hint="eastAsia" w:ascii="宋体" w:hAnsi="宋体" w:eastAsia="宋体" w:cs="宋体"/>
          <w:b w:val="0"/>
          <w:bCs w:val="0"/>
          <w:kern w:val="0"/>
          <w:sz w:val="24"/>
          <w:szCs w:val="24"/>
          <w:u w:val="none"/>
          <w:shd w:val="clear" w:color="auto" w:fill="auto"/>
          <w:lang w:val="en-US" w:eastAsia="zh-CN"/>
        </w:rPr>
        <w:t>，按时完成对采购人的消防系统进行规定项目的检查和保养工作，并做好记录，如成交供应商未按规定巡场或无巡场记录，每少一次，成交供应商需支付1000元作为违约金，以此类推。每三个月内累计超过4次（含），采购人有权单方面解除合同，并停止支付余款，其缴纳的履约保证金不予退还。</w:t>
      </w:r>
    </w:p>
    <w:p w14:paraId="030EAF7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b w:val="0"/>
          <w:bCs w:val="0"/>
          <w:kern w:val="0"/>
          <w:sz w:val="24"/>
          <w:szCs w:val="24"/>
          <w:u w:val="none"/>
          <w:shd w:val="clear" w:color="auto" w:fill="auto"/>
          <w:lang w:val="en-US" w:eastAsia="zh-CN"/>
        </w:rPr>
      </w:pPr>
      <w:r>
        <w:rPr>
          <w:rFonts w:hint="eastAsia" w:ascii="宋体" w:hAnsi="宋体" w:eastAsia="宋体" w:cs="宋体"/>
          <w:b w:val="0"/>
          <w:bCs w:val="0"/>
          <w:kern w:val="0"/>
          <w:sz w:val="24"/>
          <w:szCs w:val="24"/>
          <w:u w:val="none"/>
          <w:shd w:val="clear" w:color="auto" w:fill="auto"/>
          <w:lang w:val="en-US" w:eastAsia="zh-CN"/>
        </w:rPr>
        <w:t>7.3.2若合同签定后，成交供应商若未在7个工作日内组织专业人员对采购人所有的消防系统进行维修保养和检查，确保消防系统运行正常的，成交供应商需支付违约金1000元，采购人有权从结算周期的维保费用中扣除。</w:t>
      </w:r>
    </w:p>
    <w:p w14:paraId="03ACC2C6">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7.4逾期更换配件的违约责任</w:t>
      </w:r>
    </w:p>
    <w:p w14:paraId="7CCA99D4">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因成交供应商在维保过程中未及时更换200元以下的配件，导致采购人在消防主管部门检查或其他上级有关消防安全方面检查过程中被通报批评的，成交供应商须支付配件的10倍金额作为违约金。同时如果经查因成交供应商在维保过程中未及时更换200元以下配件的，导致采购人单位发生火灾等事故，成交供应商还应承担由此造成的所有责任。</w:t>
      </w:r>
    </w:p>
    <w:p w14:paraId="302CA961">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7.5逾期提供维修服务违约责任</w:t>
      </w:r>
    </w:p>
    <w:p w14:paraId="707A560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在受理采购人有关消防设施的紧急事故、故障及投诉等过程中，若由于成交供应商原因导致的不能按时处理的，每拖延1天，成交供应商需支付违约金500元，以此类推，情节严重的，还要承担相应的法律责任和经济赔偿。如成交供应商在接到采购人二次及以上通知和催促后仍未能及时前来维修，或维修两次以上未能修复的，采购人有权请第三方介入维修，由此造成的费用由成交供应商支付或从结算周期的维保费用中扣除，以上违约情况发生次数超过5次（含）的，采购人有权单方面解除合同，并停止支付余款，其缴纳的履约保证金不予退还。</w:t>
      </w:r>
    </w:p>
    <w:p w14:paraId="6ABC858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7.6逾期提供维保计划及月检报告的违约责任</w:t>
      </w:r>
    </w:p>
    <w:p w14:paraId="0D4B2663">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因成交供应商在维保过程中未按要求提供年度维保计划、月检报告及季检报告，每延期1天，成交供应商需支付违约金500元，延期超过10天，采购人有权单方面解除合同，并停止支付所有余款和不退还履约保证金。</w:t>
      </w:r>
    </w:p>
    <w:p w14:paraId="261291C6">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7.7违反维保人员管理要求的违约责任</w:t>
      </w:r>
    </w:p>
    <w:p w14:paraId="5BAB853B">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7.7.1成交供应商提供少于4人的维保团队或维保团队不具备特种行业职业资格证书，每发现一次扣除违约金1000元，并有权要求成交供应商当日整改完毕，发现2次，采购人有权单方面解除合同，并停止支付所有余款和不退还履约保证金。</w:t>
      </w:r>
    </w:p>
    <w:p w14:paraId="713FDD2A">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7.7.2成交供应商维保团队人员每月最多更换1人（须经采购人同意后方可更换），若月更换超过1次（含），每次扣除履约保证金500元，月更换超过3次（含），采购人有权单方面解除合同，并停止支付所有余款和不退还履约保证金。</w:t>
      </w:r>
    </w:p>
    <w:p w14:paraId="25BB82B9">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7.8违反维保现场管理规定的违约责任</w:t>
      </w:r>
    </w:p>
    <w:p w14:paraId="0E5FE69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7.8.1成交供应商在现场维保期间未能将堆放的材料有序摆放，影响通道通行或阻挡设备及设施,每发现一次扣除违约金500元，结算周期内累计超过4次（含），采购人有权单方面解除合同，并停止支付余款，其缴纳的履约保证金不予退还。</w:t>
      </w:r>
    </w:p>
    <w:p w14:paraId="27E45EB5">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7.8.2成交供应商维保人员若未按照统一制服并佩戴工作证、按采购人安全作业规范的相关要求佩戴符合要求的PPE（包括但不限于安全帽、安全鞋、带反光条的劳保服或背心、安全护目镜等）进入采购人区域工作，每发现一次扣除违约金500元，结算周期内累计超过4次（含），采购人有权单方面解除合同，并停止支付余款，其缴纳的履约保证金不予退还。</w:t>
      </w:r>
    </w:p>
    <w:p w14:paraId="670E98EB">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7.9未按相关标准提供维保服务的违约责任</w:t>
      </w:r>
    </w:p>
    <w:p w14:paraId="56B5E274">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7.9.1因成交供应商工作人员过失或不严格按照本技术要求或国家有关安全标准的规定进行维保工作所造成的损失由成交供应商负责，或者因成交供应商不维保或维保不到位等原因造成安全事故的；履约保证金不予退还且由成交供应商承担因此造成的所有经济损失及相应的法律责任。</w:t>
      </w:r>
    </w:p>
    <w:p w14:paraId="72987724">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7.9.2成交供应商维保期间，如果消防主管部门检查成交供应商维保的消防系统，发现不合格，采购人被消防主管部门处罚，除所支付的款项由成交供应商承担外，同时成交供应商每次应支付1000元作为违约金，该款项直接从结算周期内的维保服务费用中扣除。若上级有关部门检查结果不合格数量达到3次（含）以上的，采购人有权单方解除合同，并停止支付所有余款和不退还履约保证金。</w:t>
      </w:r>
    </w:p>
    <w:p w14:paraId="68C0A8E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7.9.3采购人随时抽查维保范围内消防系统的设备状况，对不符合相关管理规定的，成交供应商有责任进行整改和接受相关处罚。成交供应商未履行合同约定的服务要求或维保方案的，每发现一次向采购人支付500元违约金，超过5次（含）的采购人有权单方解除合同，停止支付所有余款并不予退还履约保证金。</w:t>
      </w:r>
    </w:p>
    <w:p w14:paraId="7A41EC97">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7.10成交供应商负责培训指导采购人相关工作人员正确使用每个系统，每半年培训不少于1次。若未按约定要求进行培训的，每发现一次扣除违约金1000元，采购人有权从结算周期内的维保费用中扣除。</w:t>
      </w:r>
    </w:p>
    <w:p w14:paraId="0EDB0573">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7.11成交供应商在合同期满前，不能保证采购人所有的消防系统正常运行，而导致下一家消控维保单位无法正常进场的，采购人有权单方解除合同，并停止支付余款，其缴纳的履约保证金不予退还。</w:t>
      </w:r>
    </w:p>
    <w:p w14:paraId="75791D41">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7.12</w:t>
      </w:r>
      <w:r>
        <w:rPr>
          <w:rFonts w:hint="eastAsia" w:ascii="宋体" w:hAnsi="宋体" w:eastAsia="宋体" w:cs="宋体"/>
          <w:sz w:val="24"/>
          <w:szCs w:val="24"/>
          <w:lang w:val="en-US" w:eastAsia="zh-CN"/>
        </w:rPr>
        <w:t>除上述具体违约责任外，</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出现不符合网上竞价文件、响应文件、合同其他采购要求的，每出现一次，需向</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支付违约金2000元。</w:t>
      </w:r>
    </w:p>
    <w:p w14:paraId="5E2D4C5C">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7.13</w:t>
      </w:r>
      <w:r>
        <w:rPr>
          <w:rFonts w:hint="eastAsia" w:ascii="宋体" w:hAnsi="宋体" w:eastAsia="宋体" w:cs="宋体"/>
          <w:sz w:val="24"/>
          <w:szCs w:val="24"/>
          <w:lang w:val="en-US" w:eastAsia="zh-CN"/>
        </w:rPr>
        <w:t>违约金采购人有权直接从应支付给</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的费用中扣除。不足部分，</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应</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接到</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通知后15日内缴纳。</w:t>
      </w:r>
    </w:p>
    <w:p w14:paraId="1C6D5761">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cs="宋体"/>
          <w:sz w:val="24"/>
          <w:szCs w:val="24"/>
          <w:lang w:val="en-US" w:eastAsia="zh-CN"/>
        </w:rPr>
        <w:t>4</w:t>
      </w:r>
      <w:r>
        <w:rPr>
          <w:rFonts w:hint="eastAsia" w:ascii="宋体" w:hAnsi="宋体" w:eastAsia="宋体" w:cs="宋体"/>
          <w:sz w:val="24"/>
          <w:szCs w:val="24"/>
        </w:rPr>
        <w:t>分包转包违约责任</w:t>
      </w:r>
    </w:p>
    <w:p w14:paraId="4FDE5F3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不得将本项目进行分包或转包，如发现经查实，</w:t>
      </w:r>
      <w:r>
        <w:rPr>
          <w:rFonts w:hint="eastAsia" w:ascii="宋体" w:hAnsi="宋体" w:eastAsia="宋体" w:cs="宋体"/>
          <w:sz w:val="24"/>
          <w:szCs w:val="24"/>
          <w:lang w:eastAsia="zh-CN"/>
        </w:rPr>
        <w:t>采购人</w:t>
      </w:r>
      <w:r>
        <w:rPr>
          <w:rFonts w:hint="eastAsia" w:ascii="宋体" w:hAnsi="宋体" w:eastAsia="宋体" w:cs="宋体"/>
          <w:sz w:val="24"/>
          <w:szCs w:val="24"/>
        </w:rPr>
        <w:t>有权单方解除合同并不予退还履约保证金。</w:t>
      </w:r>
    </w:p>
    <w:p w14:paraId="3A7CCAB4">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cs="宋体"/>
          <w:sz w:val="24"/>
          <w:szCs w:val="24"/>
          <w:lang w:val="en-US" w:eastAsia="zh-CN"/>
        </w:rPr>
        <w:t>5</w:t>
      </w:r>
      <w:r>
        <w:rPr>
          <w:rFonts w:hint="eastAsia" w:ascii="宋体" w:hAnsi="宋体" w:eastAsia="宋体" w:cs="宋体"/>
          <w:sz w:val="24"/>
          <w:szCs w:val="24"/>
        </w:rPr>
        <w:t>诉讼相关费用承担</w:t>
      </w:r>
    </w:p>
    <w:p w14:paraId="057ED0D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sz w:val="24"/>
          <w:szCs w:val="24"/>
        </w:rPr>
      </w:pPr>
      <w:r>
        <w:rPr>
          <w:rFonts w:hint="eastAsia" w:ascii="宋体" w:hAnsi="宋体" w:eastAsia="宋体" w:cs="宋体"/>
          <w:sz w:val="24"/>
          <w:szCs w:val="24"/>
        </w:rPr>
        <w:t>若因</w:t>
      </w:r>
      <w:r>
        <w:rPr>
          <w:rFonts w:hint="eastAsia" w:ascii="宋体" w:hAnsi="宋体" w:eastAsia="宋体" w:cs="宋体"/>
          <w:sz w:val="24"/>
          <w:szCs w:val="24"/>
          <w:lang w:eastAsia="zh-CN"/>
        </w:rPr>
        <w:t>成交供应商</w:t>
      </w:r>
      <w:r>
        <w:rPr>
          <w:rFonts w:hint="eastAsia" w:ascii="宋体" w:hAnsi="宋体" w:eastAsia="宋体" w:cs="宋体"/>
          <w:sz w:val="24"/>
          <w:szCs w:val="24"/>
        </w:rPr>
        <w:t>未履行本合同项下义务导致</w:t>
      </w:r>
      <w:r>
        <w:rPr>
          <w:rFonts w:hint="eastAsia" w:ascii="宋体" w:hAnsi="宋体" w:eastAsia="宋体" w:cs="宋体"/>
          <w:sz w:val="24"/>
          <w:szCs w:val="24"/>
          <w:lang w:eastAsia="zh-CN"/>
        </w:rPr>
        <w:t>采购人</w:t>
      </w:r>
      <w:r>
        <w:rPr>
          <w:rFonts w:hint="eastAsia" w:ascii="宋体" w:hAnsi="宋体" w:eastAsia="宋体" w:cs="宋体"/>
          <w:sz w:val="24"/>
          <w:szCs w:val="24"/>
        </w:rPr>
        <w:t>所产生的一切损失（包括但不限于人身财产的损失、律师费、诉讼费、保全费、鉴定费等），均由</w:t>
      </w:r>
      <w:r>
        <w:rPr>
          <w:rFonts w:hint="eastAsia" w:ascii="宋体" w:hAnsi="宋体" w:eastAsia="宋体" w:cs="宋体"/>
          <w:sz w:val="24"/>
          <w:szCs w:val="24"/>
          <w:lang w:eastAsia="zh-CN"/>
        </w:rPr>
        <w:t>成交供应商</w:t>
      </w:r>
      <w:r>
        <w:rPr>
          <w:rFonts w:hint="eastAsia" w:ascii="宋体" w:hAnsi="宋体" w:eastAsia="宋体" w:cs="宋体"/>
          <w:sz w:val="24"/>
          <w:szCs w:val="24"/>
        </w:rPr>
        <w:t>承担违约和赔偿责任。</w:t>
      </w:r>
    </w:p>
    <w:p w14:paraId="69579EA7">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cs="宋体"/>
          <w:sz w:val="24"/>
          <w:szCs w:val="24"/>
          <w:lang w:val="en-US" w:eastAsia="zh-CN"/>
        </w:rPr>
        <w:t>6</w:t>
      </w:r>
      <w:r>
        <w:rPr>
          <w:rFonts w:hint="eastAsia" w:ascii="宋体" w:hAnsi="宋体" w:eastAsia="宋体" w:cs="宋体"/>
          <w:sz w:val="24"/>
          <w:szCs w:val="24"/>
        </w:rPr>
        <w:t>政策调整导致合同解除的情况</w:t>
      </w:r>
    </w:p>
    <w:p w14:paraId="47F2E86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sz w:val="24"/>
          <w:szCs w:val="24"/>
        </w:rPr>
      </w:pPr>
      <w:r>
        <w:rPr>
          <w:rFonts w:hint="eastAsia" w:ascii="宋体" w:hAnsi="宋体" w:eastAsia="宋体" w:cs="宋体"/>
          <w:sz w:val="24"/>
          <w:szCs w:val="24"/>
        </w:rPr>
        <w:t>在合同履行期间，若遇政府部门或上级单位出台有关该项目的政策调整，继续履行合同违反相关政策文件要求的，</w:t>
      </w:r>
      <w:r>
        <w:rPr>
          <w:rFonts w:hint="eastAsia" w:ascii="宋体" w:hAnsi="宋体" w:eastAsia="宋体" w:cs="宋体"/>
          <w:sz w:val="24"/>
          <w:szCs w:val="24"/>
          <w:lang w:eastAsia="zh-CN"/>
        </w:rPr>
        <w:t>采购人</w:t>
      </w:r>
      <w:r>
        <w:rPr>
          <w:rFonts w:hint="eastAsia" w:ascii="宋体" w:hAnsi="宋体" w:eastAsia="宋体" w:cs="宋体"/>
          <w:sz w:val="24"/>
          <w:szCs w:val="24"/>
        </w:rPr>
        <w:t>须提前6日通知</w:t>
      </w:r>
      <w:r>
        <w:rPr>
          <w:rFonts w:hint="eastAsia" w:ascii="宋体" w:hAnsi="宋体" w:eastAsia="宋体" w:cs="宋体"/>
          <w:sz w:val="24"/>
          <w:szCs w:val="24"/>
          <w:lang w:eastAsia="zh-CN"/>
        </w:rPr>
        <w:t>成交供应商</w:t>
      </w:r>
      <w:r>
        <w:rPr>
          <w:rFonts w:hint="eastAsia" w:ascii="宋体" w:hAnsi="宋体" w:eastAsia="宋体" w:cs="宋体"/>
          <w:sz w:val="24"/>
          <w:szCs w:val="24"/>
        </w:rPr>
        <w:t>终止合同，因此造成的合同解除</w:t>
      </w:r>
      <w:r>
        <w:rPr>
          <w:rFonts w:hint="eastAsia" w:ascii="宋体" w:hAnsi="宋体" w:eastAsia="宋体" w:cs="宋体"/>
          <w:sz w:val="24"/>
          <w:szCs w:val="24"/>
          <w:lang w:eastAsia="zh-CN"/>
        </w:rPr>
        <w:t>采购人</w:t>
      </w:r>
      <w:r>
        <w:rPr>
          <w:rFonts w:hint="eastAsia" w:ascii="宋体" w:hAnsi="宋体" w:eastAsia="宋体" w:cs="宋体"/>
          <w:sz w:val="24"/>
          <w:szCs w:val="24"/>
        </w:rPr>
        <w:t>不承担违约责任。</w:t>
      </w:r>
    </w:p>
    <w:p w14:paraId="438915B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8</w:t>
      </w:r>
      <w:r>
        <w:rPr>
          <w:rStyle w:val="24"/>
          <w:rFonts w:hint="eastAsia" w:ascii="宋体" w:hAnsi="宋体" w:eastAsia="宋体" w:cs="宋体"/>
          <w:color w:val="auto"/>
          <w:highlight w:val="none"/>
        </w:rPr>
        <w:t>.诉讼相关费用承担</w:t>
      </w:r>
    </w:p>
    <w:p w14:paraId="0C7714A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若因成交供应商未履行合同项下义务导致采购人所产生的一切损失（包括但不限于人身财产的损失、律师费、诉讼费、保全费、鉴定费等），均由成交供应商承担赔偿责任。</w:t>
      </w:r>
    </w:p>
    <w:p w14:paraId="39B140B5">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rPr>
        <w:t>不可抗力</w:t>
      </w:r>
    </w:p>
    <w:p w14:paraId="00560FD5">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lang w:val="zh-TW"/>
        </w:rPr>
      </w:pPr>
      <w:r>
        <w:rPr>
          <w:rFonts w:hint="eastAsia" w:ascii="宋体" w:hAnsi="宋体" w:eastAsia="宋体" w:cs="宋体"/>
          <w:color w:val="auto"/>
          <w:highlight w:val="none"/>
        </w:rPr>
        <w:t>（1）</w:t>
      </w:r>
      <w:r>
        <w:rPr>
          <w:rFonts w:hint="eastAsia" w:ascii="宋体" w:hAnsi="宋体" w:eastAsia="宋体" w:cs="宋体"/>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21B9F1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6981286">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lang w:val="en-US" w:eastAsia="zh-CN"/>
        </w:rPr>
        <w:t>10</w:t>
      </w:r>
      <w:r>
        <w:rPr>
          <w:rStyle w:val="24"/>
          <w:rFonts w:hint="eastAsia" w:ascii="宋体" w:hAnsi="宋体" w:eastAsia="宋体" w:cs="宋体"/>
          <w:color w:val="auto"/>
          <w:highlight w:val="none"/>
        </w:rPr>
        <w:t>.专利权及知识产权</w:t>
      </w:r>
    </w:p>
    <w:p w14:paraId="28E402F5">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highlight w:val="none"/>
        </w:rPr>
        <w:t>成交供应商</w:t>
      </w:r>
      <w:r>
        <w:rPr>
          <w:rFonts w:hint="eastAsia" w:ascii="宋体" w:hAnsi="宋体" w:eastAsia="宋体" w:cs="宋体"/>
          <w:color w:val="auto"/>
          <w:highlight w:val="none"/>
          <w:lang w:val="zh-TW"/>
        </w:rPr>
        <w:t>须与第三方交涉并承担可能发生的责任与一切费用。如采购人因此而遭致损失的，</w:t>
      </w:r>
      <w:r>
        <w:rPr>
          <w:rFonts w:hint="eastAsia" w:ascii="宋体" w:hAnsi="宋体" w:eastAsia="宋体" w:cs="宋体"/>
          <w:color w:val="auto"/>
          <w:highlight w:val="none"/>
        </w:rPr>
        <w:t>成交供应商</w:t>
      </w:r>
      <w:r>
        <w:rPr>
          <w:rFonts w:hint="eastAsia" w:ascii="宋体" w:hAnsi="宋体" w:eastAsia="宋体" w:cs="宋体"/>
          <w:color w:val="auto"/>
          <w:highlight w:val="none"/>
          <w:lang w:val="zh-TW"/>
        </w:rPr>
        <w:t>应赔偿该损失。</w:t>
      </w:r>
    </w:p>
    <w:p w14:paraId="7AE5025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highlight w:val="none"/>
        </w:rPr>
      </w:pPr>
      <w:r>
        <w:rPr>
          <w:rStyle w:val="24"/>
          <w:rFonts w:hint="eastAsia" w:ascii="宋体" w:hAnsi="宋体" w:eastAsia="宋体" w:cs="宋体"/>
          <w:color w:val="auto"/>
          <w:highlight w:val="none"/>
        </w:rPr>
        <w:t>1</w:t>
      </w:r>
      <w:r>
        <w:rPr>
          <w:rStyle w:val="24"/>
          <w:rFonts w:hint="eastAsia" w:ascii="宋体" w:hAnsi="宋体" w:eastAsia="宋体" w:cs="宋体"/>
          <w:color w:val="auto"/>
          <w:highlight w:val="none"/>
          <w:lang w:val="en-US" w:eastAsia="zh-CN"/>
        </w:rPr>
        <w:t>1</w:t>
      </w:r>
      <w:r>
        <w:rPr>
          <w:rStyle w:val="24"/>
          <w:rFonts w:hint="eastAsia" w:ascii="宋体" w:hAnsi="宋体" w:eastAsia="宋体" w:cs="宋体"/>
          <w:color w:val="auto"/>
          <w:highlight w:val="none"/>
        </w:rPr>
        <w:t>.保密条款</w:t>
      </w:r>
    </w:p>
    <w:p w14:paraId="466EDF8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val="zh-TW"/>
        </w:rPr>
      </w:pPr>
      <w:r>
        <w:rPr>
          <w:rFonts w:hint="eastAsia" w:ascii="宋体" w:hAnsi="宋体" w:eastAsia="宋体" w:cs="宋体"/>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2）成交供应商违反本条约定泄露采购人的涉密信息的，应承担相应的法律责任，造成采购人损失的，成交供应商应当依法承担赔偿责任。（3）本条款不因合同届满或解除而失效。</w:t>
      </w:r>
    </w:p>
    <w:p w14:paraId="65EFF5E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rPr>
        <w:t>廉政条款</w:t>
      </w:r>
    </w:p>
    <w:p w14:paraId="1AC9597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27DAAD5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rPr>
        <w:t>合同纠纷处理方式</w:t>
      </w:r>
    </w:p>
    <w:p w14:paraId="3728DD1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val="zh-TW"/>
        </w:rPr>
      </w:pPr>
      <w:r>
        <w:rPr>
          <w:rFonts w:hint="eastAsia" w:ascii="宋体" w:hAnsi="宋体" w:eastAsia="宋体" w:cs="宋体"/>
          <w:color w:val="auto"/>
          <w:highlight w:val="none"/>
        </w:rPr>
        <w:t>（1）采购人及成交供应商</w:t>
      </w:r>
      <w:r>
        <w:rPr>
          <w:rFonts w:hint="eastAsia" w:ascii="宋体" w:hAnsi="宋体" w:eastAsia="宋体" w:cs="宋体"/>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2FC6A94F">
      <w:pPr>
        <w:widowControl/>
        <w:spacing w:line="360" w:lineRule="auto"/>
        <w:ind w:firstLine="240" w:firstLineChars="100"/>
        <w:rPr>
          <w:rFonts w:ascii="宋体" w:hAnsi="宋体"/>
          <w:b/>
          <w:bCs/>
          <w:color w:val="auto"/>
          <w:sz w:val="36"/>
          <w:szCs w:val="36"/>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rPr>
        <w:t>合同补充和修改：本合同生效后，双方对合同内容的变更或补充应采取书面形式，并经双方签字并盖章确认。</w:t>
      </w:r>
      <w:bookmarkEnd w:id="10"/>
      <w:bookmarkEnd w:id="11"/>
      <w:bookmarkEnd w:id="12"/>
      <w:bookmarkEnd w:id="13"/>
      <w:bookmarkEnd w:id="14"/>
    </w:p>
    <w:p w14:paraId="33C6BCD5">
      <w:pPr>
        <w:widowControl/>
        <w:spacing w:line="360" w:lineRule="auto"/>
        <w:jc w:val="center"/>
        <w:rPr>
          <w:rFonts w:ascii="宋体" w:hAnsi="宋体"/>
          <w:b/>
          <w:bCs/>
          <w:color w:val="auto"/>
          <w:sz w:val="36"/>
          <w:szCs w:val="36"/>
          <w:highlight w:val="none"/>
        </w:rPr>
      </w:pPr>
    </w:p>
    <w:p w14:paraId="3DD938F5">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31476EE1">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4818240B">
      <w:pPr>
        <w:snapToGrid w:val="0"/>
        <w:spacing w:line="360" w:lineRule="auto"/>
        <w:jc w:val="center"/>
        <w:outlineLvl w:val="1"/>
        <w:rPr>
          <w:rFonts w:ascii="宋体" w:hAnsi="宋体" w:cs="宋体"/>
          <w:b/>
          <w:color w:val="auto"/>
          <w:sz w:val="24"/>
          <w:highlight w:val="none"/>
        </w:rPr>
      </w:pPr>
      <w:bookmarkStart w:id="15" w:name="_Toc30978"/>
      <w:r>
        <w:rPr>
          <w:rFonts w:hint="eastAsia" w:ascii="宋体" w:hAnsi="宋体" w:cs="宋体"/>
          <w:b/>
          <w:color w:val="auto"/>
          <w:sz w:val="24"/>
          <w:highlight w:val="none"/>
        </w:rPr>
        <w:t>（参考文本）</w:t>
      </w:r>
      <w:bookmarkEnd w:id="15"/>
    </w:p>
    <w:p w14:paraId="105153EC">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59A87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11613256">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7DF7E9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312320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14:paraId="42DE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14:paraId="2632BF9A">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14:paraId="03C99B16">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14:paraId="337ADFD9">
            <w:pPr>
              <w:pStyle w:val="17"/>
              <w:wordWrap w:val="0"/>
              <w:spacing w:beforeAutospacing="0" w:afterAutospacing="0" w:line="360" w:lineRule="auto"/>
              <w:jc w:val="center"/>
              <w:rPr>
                <w:color w:val="auto"/>
                <w:highlight w:val="none"/>
              </w:rPr>
            </w:pPr>
            <w:r>
              <w:rPr>
                <w:rFonts w:hint="eastAsia"/>
                <w:color w:val="auto"/>
                <w:highlight w:val="none"/>
              </w:rPr>
              <w:t>服务名称</w:t>
            </w:r>
          </w:p>
        </w:tc>
        <w:tc>
          <w:tcPr>
            <w:tcW w:w="834" w:type="pct"/>
            <w:vAlign w:val="center"/>
          </w:tcPr>
          <w:p w14:paraId="56679F8D">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14:paraId="13875958">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14:paraId="739C4159">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14:paraId="76F7CE3A">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3675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250D1DAD">
            <w:pPr>
              <w:pStyle w:val="17"/>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14:paraId="30CE14D0">
            <w:pPr>
              <w:spacing w:line="360" w:lineRule="auto"/>
              <w:jc w:val="center"/>
              <w:rPr>
                <w:rFonts w:cs="宋体"/>
                <w:color w:val="auto"/>
                <w:highlight w:val="none"/>
              </w:rPr>
            </w:pPr>
          </w:p>
        </w:tc>
        <w:tc>
          <w:tcPr>
            <w:tcW w:w="1194" w:type="pct"/>
            <w:vAlign w:val="center"/>
          </w:tcPr>
          <w:p w14:paraId="74AE399E">
            <w:pPr>
              <w:widowControl/>
              <w:spacing w:line="360" w:lineRule="auto"/>
              <w:jc w:val="center"/>
              <w:textAlignment w:val="center"/>
              <w:rPr>
                <w:rFonts w:cs="宋体"/>
                <w:color w:val="auto"/>
                <w:highlight w:val="none"/>
              </w:rPr>
            </w:pPr>
          </w:p>
        </w:tc>
        <w:tc>
          <w:tcPr>
            <w:tcW w:w="834" w:type="pct"/>
            <w:vAlign w:val="center"/>
          </w:tcPr>
          <w:p w14:paraId="648A1B71">
            <w:pPr>
              <w:widowControl/>
              <w:spacing w:line="360" w:lineRule="auto"/>
              <w:jc w:val="center"/>
              <w:textAlignment w:val="center"/>
              <w:rPr>
                <w:rFonts w:cs="宋体"/>
                <w:color w:val="auto"/>
                <w:highlight w:val="none"/>
              </w:rPr>
            </w:pPr>
          </w:p>
        </w:tc>
        <w:tc>
          <w:tcPr>
            <w:tcW w:w="714" w:type="pct"/>
            <w:vAlign w:val="center"/>
          </w:tcPr>
          <w:p w14:paraId="02081402">
            <w:pPr>
              <w:pStyle w:val="17"/>
              <w:wordWrap w:val="0"/>
              <w:spacing w:beforeAutospacing="0" w:afterAutospacing="0" w:line="360" w:lineRule="auto"/>
              <w:jc w:val="center"/>
              <w:rPr>
                <w:color w:val="auto"/>
                <w:highlight w:val="none"/>
              </w:rPr>
            </w:pPr>
          </w:p>
        </w:tc>
        <w:tc>
          <w:tcPr>
            <w:tcW w:w="954" w:type="pct"/>
            <w:vAlign w:val="center"/>
          </w:tcPr>
          <w:p w14:paraId="1B20E593">
            <w:pPr>
              <w:pStyle w:val="17"/>
              <w:wordWrap w:val="0"/>
              <w:spacing w:beforeAutospacing="0" w:afterAutospacing="0" w:line="360" w:lineRule="auto"/>
              <w:jc w:val="center"/>
              <w:rPr>
                <w:color w:val="auto"/>
                <w:highlight w:val="none"/>
              </w:rPr>
            </w:pPr>
          </w:p>
        </w:tc>
        <w:tc>
          <w:tcPr>
            <w:tcW w:w="354" w:type="pct"/>
            <w:vAlign w:val="center"/>
          </w:tcPr>
          <w:p w14:paraId="6FE90964">
            <w:pPr>
              <w:pStyle w:val="17"/>
              <w:wordWrap w:val="0"/>
              <w:spacing w:beforeAutospacing="0" w:afterAutospacing="0" w:line="360" w:lineRule="auto"/>
              <w:jc w:val="center"/>
              <w:rPr>
                <w:color w:val="auto"/>
                <w:highlight w:val="none"/>
              </w:rPr>
            </w:pPr>
          </w:p>
        </w:tc>
      </w:tr>
    </w:tbl>
    <w:p w14:paraId="6CA0E9F6">
      <w:pPr>
        <w:snapToGrid w:val="0"/>
        <w:spacing w:line="360" w:lineRule="auto"/>
        <w:ind w:firstLine="482" w:firstLineChars="200"/>
        <w:outlineLvl w:val="1"/>
        <w:rPr>
          <w:rFonts w:ascii="宋体" w:hAnsi="宋体" w:cs="宋体"/>
          <w:b/>
          <w:color w:val="auto"/>
          <w:sz w:val="24"/>
          <w:highlight w:val="none"/>
        </w:rPr>
      </w:pPr>
      <w:bookmarkStart w:id="16" w:name="_Toc6480"/>
      <w:r>
        <w:rPr>
          <w:rFonts w:hint="eastAsia" w:ascii="宋体" w:hAnsi="宋体" w:cs="宋体"/>
          <w:b/>
          <w:color w:val="auto"/>
          <w:sz w:val="24"/>
          <w:highlight w:val="none"/>
        </w:rPr>
        <w:t>2、交货地点及交货时间</w:t>
      </w:r>
      <w:bookmarkEnd w:id="16"/>
    </w:p>
    <w:p w14:paraId="750356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14:paraId="6831EBC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2.2服务期限：</w:t>
      </w:r>
    </w:p>
    <w:p w14:paraId="756527C1">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14:paraId="3874D684">
      <w:pPr>
        <w:spacing w:line="360" w:lineRule="auto"/>
        <w:ind w:firstLine="482" w:firstLineChars="200"/>
        <w:outlineLvl w:val="1"/>
        <w:rPr>
          <w:rFonts w:ascii="宋体" w:hAnsi="宋体" w:cs="宋体"/>
          <w:color w:val="auto"/>
          <w:sz w:val="24"/>
          <w:highlight w:val="none"/>
        </w:rPr>
      </w:pPr>
      <w:bookmarkStart w:id="17" w:name="_Toc15649"/>
      <w:r>
        <w:rPr>
          <w:rFonts w:hint="eastAsia" w:ascii="宋体" w:hAnsi="宋体" w:cs="宋体"/>
          <w:b/>
          <w:bCs/>
          <w:color w:val="auto"/>
          <w:sz w:val="24"/>
          <w:highlight w:val="none"/>
        </w:rPr>
        <w:t>4、项目联系人：</w:t>
      </w:r>
      <w:bookmarkEnd w:id="17"/>
    </w:p>
    <w:p w14:paraId="0FD6C40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315F12D4">
      <w:pPr>
        <w:spacing w:line="360" w:lineRule="auto"/>
        <w:ind w:firstLine="482" w:firstLineChars="200"/>
        <w:outlineLvl w:val="1"/>
        <w:rPr>
          <w:rFonts w:ascii="宋体" w:hAnsi="宋体" w:cs="宋体"/>
          <w:b/>
          <w:bCs/>
          <w:color w:val="auto"/>
          <w:sz w:val="24"/>
          <w:highlight w:val="none"/>
        </w:rPr>
      </w:pPr>
      <w:bookmarkStart w:id="18" w:name="_Toc4463"/>
      <w:r>
        <w:rPr>
          <w:rFonts w:hint="eastAsia" w:ascii="宋体" w:hAnsi="宋体" w:cs="宋体"/>
          <w:b/>
          <w:bCs/>
          <w:color w:val="auto"/>
          <w:sz w:val="24"/>
          <w:highlight w:val="none"/>
        </w:rPr>
        <w:t>6、结算与付款方式：</w:t>
      </w:r>
      <w:bookmarkEnd w:id="18"/>
    </w:p>
    <w:p w14:paraId="26CD24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0E7D0A96">
      <w:pPr>
        <w:spacing w:line="360" w:lineRule="auto"/>
        <w:rPr>
          <w:rFonts w:ascii="宋体" w:hAnsi="宋体" w:cs="宋体"/>
          <w:color w:val="auto"/>
          <w:sz w:val="24"/>
          <w:highlight w:val="none"/>
        </w:rPr>
      </w:pPr>
    </w:p>
    <w:p w14:paraId="27477C89">
      <w:pPr>
        <w:tabs>
          <w:tab w:val="left" w:pos="0"/>
        </w:tabs>
        <w:spacing w:line="360" w:lineRule="auto"/>
        <w:ind w:firstLine="482" w:firstLineChars="200"/>
        <w:rPr>
          <w:rFonts w:ascii="宋体" w:hAnsi="宋体" w:cs="宋体"/>
          <w:color w:val="auto"/>
          <w:sz w:val="24"/>
          <w:highlight w:val="none"/>
        </w:rPr>
      </w:pPr>
      <w:bookmarkStart w:id="19" w:name="_Toc11125"/>
      <w:r>
        <w:rPr>
          <w:rFonts w:hint="eastAsia" w:ascii="宋体" w:hAnsi="宋体" w:cs="宋体"/>
          <w:b/>
          <w:bCs/>
          <w:color w:val="auto"/>
          <w:sz w:val="24"/>
          <w:highlight w:val="none"/>
        </w:rPr>
        <w:t>8、验收要求</w:t>
      </w:r>
      <w:bookmarkEnd w:id="19"/>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08E4674">
      <w:pPr>
        <w:spacing w:line="360" w:lineRule="auto"/>
        <w:ind w:firstLine="482" w:firstLineChars="200"/>
        <w:outlineLvl w:val="1"/>
        <w:rPr>
          <w:rFonts w:ascii="宋体" w:hAnsi="宋体" w:cs="宋体"/>
          <w:b/>
          <w:bCs/>
          <w:color w:val="auto"/>
          <w:sz w:val="24"/>
          <w:highlight w:val="none"/>
        </w:rPr>
      </w:pPr>
      <w:bookmarkStart w:id="20" w:name="_Toc26908"/>
      <w:r>
        <w:rPr>
          <w:rFonts w:hint="eastAsia" w:ascii="宋体" w:hAnsi="宋体" w:cs="宋体"/>
          <w:b/>
          <w:bCs/>
          <w:color w:val="auto"/>
          <w:sz w:val="24"/>
          <w:highlight w:val="none"/>
        </w:rPr>
        <w:t>9、违约责任</w:t>
      </w:r>
      <w:bookmarkEnd w:id="20"/>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3CD8745B">
      <w:pPr>
        <w:tabs>
          <w:tab w:val="left" w:pos="0"/>
        </w:tabs>
        <w:spacing w:line="360" w:lineRule="auto"/>
        <w:ind w:firstLine="482" w:firstLineChars="200"/>
        <w:outlineLvl w:val="1"/>
        <w:rPr>
          <w:rFonts w:ascii="宋体" w:hAnsi="宋体" w:cs="宋体"/>
          <w:b/>
          <w:bCs/>
          <w:color w:val="auto"/>
          <w:sz w:val="24"/>
          <w:highlight w:val="none"/>
        </w:rPr>
      </w:pPr>
      <w:bookmarkStart w:id="21" w:name="_Toc25786"/>
    </w:p>
    <w:p w14:paraId="1A8A6E27">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10、</w:t>
      </w:r>
      <w:bookmarkEnd w:id="21"/>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99189B0">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5D4B1CD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E6A729F">
      <w:pPr>
        <w:spacing w:line="360" w:lineRule="auto"/>
        <w:ind w:firstLine="482" w:firstLineChars="200"/>
        <w:outlineLvl w:val="1"/>
        <w:rPr>
          <w:rFonts w:ascii="宋体" w:hAnsi="宋体" w:cs="宋体"/>
          <w:b/>
          <w:bCs/>
          <w:color w:val="auto"/>
          <w:sz w:val="24"/>
          <w:highlight w:val="none"/>
        </w:rPr>
      </w:pPr>
      <w:bookmarkStart w:id="22" w:name="_Toc1392"/>
      <w:r>
        <w:rPr>
          <w:rFonts w:hint="eastAsia" w:ascii="宋体" w:hAnsi="宋体" w:cs="宋体"/>
          <w:b/>
          <w:bCs/>
          <w:color w:val="auto"/>
          <w:sz w:val="24"/>
          <w:highlight w:val="none"/>
        </w:rPr>
        <w:t>12、合同解除条件</w:t>
      </w:r>
      <w:bookmarkEnd w:id="22"/>
    </w:p>
    <w:p w14:paraId="71607B6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1F5107D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3984D08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2C8A89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372F04EE">
      <w:pPr>
        <w:spacing w:line="360" w:lineRule="auto"/>
        <w:ind w:firstLine="482" w:firstLineChars="200"/>
        <w:outlineLvl w:val="1"/>
        <w:rPr>
          <w:rFonts w:ascii="宋体" w:hAnsi="宋体" w:cs="宋体"/>
          <w:b/>
          <w:bCs/>
          <w:color w:val="auto"/>
          <w:sz w:val="24"/>
          <w:highlight w:val="none"/>
        </w:rPr>
      </w:pPr>
      <w:bookmarkStart w:id="23" w:name="_Toc5467"/>
      <w:r>
        <w:rPr>
          <w:rFonts w:hint="eastAsia" w:ascii="宋体" w:hAnsi="宋体" w:cs="宋体"/>
          <w:b/>
          <w:bCs/>
          <w:color w:val="auto"/>
          <w:sz w:val="24"/>
          <w:highlight w:val="none"/>
        </w:rPr>
        <w:t>13、不可抗力</w:t>
      </w:r>
      <w:bookmarkEnd w:id="23"/>
    </w:p>
    <w:p w14:paraId="141E85E4">
      <w:pPr>
        <w:pStyle w:val="17"/>
        <w:spacing w:before="0" w:beforeAutospacing="0" w:after="0" w:afterAutospacing="0" w:line="360" w:lineRule="auto"/>
        <w:ind w:firstLine="480" w:firstLineChars="200"/>
        <w:rPr>
          <w:color w:val="auto"/>
          <w:highlight w:val="none"/>
          <w:lang w:val="zh-TW"/>
        </w:rPr>
      </w:pPr>
      <w:bookmarkStart w:id="24"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9C9AFE6">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19CF4DD5">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14、合同纠纷处理方式</w:t>
      </w:r>
      <w:bookmarkEnd w:id="24"/>
    </w:p>
    <w:p w14:paraId="1020FC7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E53AFD8">
      <w:pPr>
        <w:tabs>
          <w:tab w:val="left" w:pos="0"/>
        </w:tabs>
        <w:spacing w:line="360" w:lineRule="auto"/>
        <w:ind w:firstLine="482" w:firstLineChars="200"/>
        <w:outlineLvl w:val="1"/>
        <w:rPr>
          <w:rFonts w:ascii="宋体" w:hAnsi="宋体" w:cs="宋体"/>
          <w:b/>
          <w:bCs/>
          <w:color w:val="auto"/>
          <w:sz w:val="24"/>
          <w:highlight w:val="none"/>
        </w:rPr>
      </w:pPr>
      <w:bookmarkStart w:id="25" w:name="_Toc8403"/>
      <w:r>
        <w:rPr>
          <w:rFonts w:hint="eastAsia" w:ascii="宋体" w:hAnsi="宋体" w:cs="宋体"/>
          <w:b/>
          <w:bCs/>
          <w:color w:val="auto"/>
          <w:sz w:val="24"/>
          <w:highlight w:val="none"/>
        </w:rPr>
        <w:t>15、保密要求</w:t>
      </w:r>
      <w:bookmarkEnd w:id="25"/>
    </w:p>
    <w:p w14:paraId="5575C2D5">
      <w:pPr>
        <w:pStyle w:val="17"/>
        <w:spacing w:before="0" w:beforeAutospacing="0" w:after="0" w:afterAutospacing="0" w:line="360" w:lineRule="auto"/>
        <w:ind w:firstLine="480" w:firstLineChars="200"/>
        <w:rPr>
          <w:color w:val="auto"/>
          <w:highlight w:val="none"/>
        </w:rPr>
      </w:pPr>
      <w:bookmarkStart w:id="26" w:name="_Toc21944"/>
      <w:r>
        <w:rPr>
          <w:rFonts w:hint="eastAsia"/>
          <w:color w:val="auto"/>
          <w:highlight w:val="none"/>
        </w:rPr>
        <w:t>（1）乙方应当对合同的内容、因履行合同或在合同期间知悉的或收到的甲方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23D99338">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1DC97277">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6977AC73">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16、廉政条款</w:t>
      </w:r>
      <w:bookmarkEnd w:id="26"/>
    </w:p>
    <w:p w14:paraId="28D547C8">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07D79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49425E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44D4CF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7D725F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03216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208CC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431261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69FF1D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565949C5">
      <w:pPr>
        <w:pStyle w:val="19"/>
        <w:spacing w:line="360" w:lineRule="auto"/>
        <w:ind w:firstLine="480" w:firstLineChars="200"/>
        <w:jc w:val="both"/>
        <w:rPr>
          <w:rFonts w:ascii="宋体" w:hAnsi="宋体" w:cs="宋体"/>
          <w:color w:val="auto"/>
          <w:sz w:val="36"/>
          <w:szCs w:val="36"/>
          <w:highlight w:val="none"/>
        </w:rPr>
      </w:pPr>
      <w:bookmarkStart w:id="27" w:name="_Toc30271"/>
      <w:r>
        <w:rPr>
          <w:rFonts w:hint="eastAsia" w:ascii="宋体" w:hAnsi="宋体" w:cs="宋体"/>
          <w:b w:val="0"/>
          <w:bCs w:val="0"/>
          <w:color w:val="auto"/>
          <w:sz w:val="24"/>
          <w:szCs w:val="24"/>
          <w:highlight w:val="none"/>
        </w:rPr>
        <w:t>账    号：                            账    号：</w:t>
      </w:r>
      <w:bookmarkEnd w:id="27"/>
    </w:p>
    <w:p w14:paraId="317BE283">
      <w:pPr>
        <w:pStyle w:val="2"/>
        <w:spacing w:line="360" w:lineRule="auto"/>
        <w:rPr>
          <w:color w:val="auto"/>
          <w:sz w:val="24"/>
          <w:highlight w:val="none"/>
        </w:rPr>
      </w:pPr>
    </w:p>
    <w:p w14:paraId="3F717C32">
      <w:pPr>
        <w:pStyle w:val="2"/>
        <w:spacing w:line="360" w:lineRule="auto"/>
        <w:rPr>
          <w:color w:val="auto"/>
          <w:highlight w:val="none"/>
        </w:rPr>
      </w:pPr>
    </w:p>
    <w:p w14:paraId="5D99DE63">
      <w:pPr>
        <w:pStyle w:val="2"/>
        <w:spacing w:line="360" w:lineRule="auto"/>
        <w:rPr>
          <w:color w:val="auto"/>
          <w:highlight w:val="none"/>
        </w:rPr>
      </w:pPr>
    </w:p>
    <w:p w14:paraId="6E231B3A">
      <w:pPr>
        <w:pStyle w:val="2"/>
        <w:spacing w:line="360" w:lineRule="auto"/>
        <w:rPr>
          <w:color w:val="auto"/>
          <w:highlight w:val="none"/>
        </w:rPr>
      </w:pPr>
    </w:p>
    <w:p w14:paraId="4DBF7633">
      <w:pPr>
        <w:pStyle w:val="2"/>
        <w:spacing w:line="360" w:lineRule="auto"/>
        <w:rPr>
          <w:color w:val="auto"/>
          <w:highlight w:val="none"/>
        </w:rPr>
      </w:pPr>
    </w:p>
    <w:p w14:paraId="383D29DE">
      <w:pPr>
        <w:pStyle w:val="2"/>
        <w:spacing w:line="360" w:lineRule="auto"/>
        <w:rPr>
          <w:color w:val="auto"/>
          <w:highlight w:val="none"/>
        </w:rPr>
      </w:pPr>
    </w:p>
    <w:p w14:paraId="46294B08">
      <w:pPr>
        <w:pStyle w:val="2"/>
        <w:spacing w:line="360" w:lineRule="auto"/>
        <w:rPr>
          <w:color w:val="auto"/>
          <w:highlight w:val="none"/>
        </w:rPr>
      </w:pPr>
    </w:p>
    <w:p w14:paraId="1258F67A">
      <w:pPr>
        <w:pStyle w:val="2"/>
        <w:spacing w:line="360" w:lineRule="auto"/>
        <w:rPr>
          <w:color w:val="auto"/>
          <w:highlight w:val="none"/>
        </w:rPr>
      </w:pPr>
    </w:p>
    <w:p w14:paraId="14B6B1CC">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63DDCE18">
      <w:pPr>
        <w:pStyle w:val="10"/>
        <w:spacing w:line="360" w:lineRule="auto"/>
        <w:rPr>
          <w:rFonts w:ascii="宋体" w:hAnsi="宋体" w:cs="宋体"/>
          <w:b/>
          <w:color w:val="auto"/>
          <w:kern w:val="0"/>
          <w:sz w:val="24"/>
          <w:highlight w:val="none"/>
        </w:rPr>
      </w:pPr>
    </w:p>
    <w:p w14:paraId="5A2B7C69">
      <w:pPr>
        <w:adjustRightInd w:val="0"/>
        <w:snapToGrid w:val="0"/>
        <w:spacing w:line="360" w:lineRule="auto"/>
        <w:rPr>
          <w:rFonts w:ascii="宋体" w:hAnsi="宋体" w:cs="宋体"/>
          <w:color w:val="auto"/>
          <w:sz w:val="24"/>
          <w:highlight w:val="none"/>
        </w:rPr>
      </w:pPr>
    </w:p>
    <w:p w14:paraId="7AD2FE4B">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5E3D1798">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70C6FE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B0725F8">
      <w:pPr>
        <w:spacing w:line="360" w:lineRule="auto"/>
        <w:rPr>
          <w:color w:val="auto"/>
          <w:highlight w:val="none"/>
        </w:rPr>
      </w:pPr>
    </w:p>
    <w:p w14:paraId="172F7C4E">
      <w:pPr>
        <w:pStyle w:val="6"/>
        <w:spacing w:line="360" w:lineRule="auto"/>
        <w:rPr>
          <w:color w:val="auto"/>
          <w:highlight w:val="none"/>
        </w:rPr>
      </w:pPr>
    </w:p>
    <w:p w14:paraId="0E5E1232">
      <w:pPr>
        <w:spacing w:line="360" w:lineRule="auto"/>
        <w:rPr>
          <w:color w:val="auto"/>
          <w:highlight w:val="none"/>
        </w:rPr>
      </w:pPr>
    </w:p>
    <w:p w14:paraId="612BE01C">
      <w:pPr>
        <w:pStyle w:val="6"/>
        <w:spacing w:line="360" w:lineRule="auto"/>
        <w:rPr>
          <w:color w:val="auto"/>
          <w:highlight w:val="none"/>
        </w:rPr>
      </w:pPr>
    </w:p>
    <w:p w14:paraId="33D23064">
      <w:pPr>
        <w:spacing w:line="360" w:lineRule="auto"/>
        <w:rPr>
          <w:color w:val="auto"/>
          <w:highlight w:val="none"/>
        </w:rPr>
      </w:pPr>
    </w:p>
    <w:p w14:paraId="4942B060">
      <w:pPr>
        <w:pStyle w:val="7"/>
        <w:spacing w:line="360" w:lineRule="auto"/>
        <w:rPr>
          <w:color w:val="auto"/>
          <w:highlight w:val="none"/>
        </w:rPr>
      </w:pPr>
    </w:p>
    <w:p w14:paraId="5CABB52A">
      <w:pPr>
        <w:spacing w:line="360" w:lineRule="auto"/>
        <w:rPr>
          <w:color w:val="auto"/>
          <w:highlight w:val="none"/>
        </w:rPr>
      </w:pPr>
    </w:p>
    <w:p w14:paraId="7192C6A3">
      <w:pPr>
        <w:pStyle w:val="7"/>
        <w:spacing w:line="360" w:lineRule="auto"/>
        <w:rPr>
          <w:color w:val="auto"/>
          <w:highlight w:val="none"/>
        </w:rPr>
      </w:pPr>
    </w:p>
    <w:p w14:paraId="3F6DE7B2">
      <w:pPr>
        <w:spacing w:line="360" w:lineRule="auto"/>
        <w:rPr>
          <w:color w:val="auto"/>
          <w:highlight w:val="none"/>
        </w:rPr>
      </w:pPr>
    </w:p>
    <w:p w14:paraId="748B2135">
      <w:pPr>
        <w:pStyle w:val="7"/>
        <w:spacing w:line="360" w:lineRule="auto"/>
        <w:rPr>
          <w:color w:val="auto"/>
          <w:highlight w:val="none"/>
        </w:rPr>
      </w:pPr>
    </w:p>
    <w:p w14:paraId="6AC9D833">
      <w:pPr>
        <w:spacing w:line="360" w:lineRule="auto"/>
        <w:rPr>
          <w:color w:val="auto"/>
          <w:highlight w:val="none"/>
        </w:rPr>
      </w:pPr>
    </w:p>
    <w:p w14:paraId="739215E5">
      <w:pPr>
        <w:spacing w:line="360" w:lineRule="auto"/>
        <w:rPr>
          <w:color w:val="auto"/>
          <w:highlight w:val="none"/>
        </w:rPr>
      </w:pPr>
    </w:p>
    <w:p w14:paraId="602769F2">
      <w:pPr>
        <w:pStyle w:val="20"/>
        <w:spacing w:line="360" w:lineRule="auto"/>
        <w:ind w:firstLine="210"/>
        <w:rPr>
          <w:color w:val="auto"/>
          <w:highlight w:val="none"/>
        </w:rPr>
      </w:pPr>
    </w:p>
    <w:p w14:paraId="1C329732">
      <w:pPr>
        <w:pStyle w:val="8"/>
        <w:spacing w:line="360" w:lineRule="auto"/>
        <w:rPr>
          <w:color w:val="auto"/>
          <w:highlight w:val="none"/>
        </w:rPr>
      </w:pPr>
    </w:p>
    <w:p w14:paraId="6DAE8F4C">
      <w:pPr>
        <w:pStyle w:val="3"/>
        <w:spacing w:line="360" w:lineRule="auto"/>
        <w:rPr>
          <w:color w:val="auto"/>
          <w:highlight w:val="none"/>
        </w:rPr>
      </w:pPr>
    </w:p>
    <w:p w14:paraId="275C78E1">
      <w:pPr>
        <w:pStyle w:val="8"/>
        <w:spacing w:line="360" w:lineRule="auto"/>
        <w:rPr>
          <w:color w:val="auto"/>
          <w:highlight w:val="none"/>
        </w:rPr>
      </w:pPr>
    </w:p>
    <w:p w14:paraId="265CCDF9">
      <w:pPr>
        <w:spacing w:line="360" w:lineRule="auto"/>
        <w:jc w:val="center"/>
        <w:rPr>
          <w:rFonts w:ascii="黑体" w:hAnsi="黑体" w:eastAsia="黑体"/>
          <w:color w:val="auto"/>
          <w:sz w:val="96"/>
          <w:szCs w:val="96"/>
          <w:highlight w:val="none"/>
        </w:rPr>
      </w:pPr>
    </w:p>
    <w:p w14:paraId="354ECA07">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438408A">
      <w:pPr>
        <w:pStyle w:val="30"/>
        <w:spacing w:after="120" w:line="360" w:lineRule="auto"/>
        <w:outlineLvl w:val="9"/>
        <w:rPr>
          <w:rStyle w:val="31"/>
          <w:rFonts w:hAnsi="宋体" w:cs="宋体"/>
          <w:b/>
          <w:bCs/>
          <w:color w:val="auto"/>
          <w:sz w:val="44"/>
          <w:szCs w:val="44"/>
          <w:highlight w:val="none"/>
        </w:rPr>
      </w:pPr>
    </w:p>
    <w:p w14:paraId="0674BEAE">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（第一部分  资格及技术商务部分）</w:t>
      </w:r>
    </w:p>
    <w:p w14:paraId="71B938E8">
      <w:pPr>
        <w:spacing w:line="360" w:lineRule="auto"/>
        <w:ind w:firstLine="1920" w:firstLineChars="200"/>
        <w:jc w:val="left"/>
        <w:rPr>
          <w:color w:val="auto"/>
          <w:sz w:val="96"/>
          <w:szCs w:val="96"/>
          <w:highlight w:val="none"/>
        </w:rPr>
      </w:pPr>
    </w:p>
    <w:p w14:paraId="2863A0EC">
      <w:pPr>
        <w:spacing w:line="360" w:lineRule="auto"/>
        <w:ind w:firstLine="1920" w:firstLineChars="200"/>
        <w:jc w:val="left"/>
        <w:rPr>
          <w:color w:val="auto"/>
          <w:sz w:val="96"/>
          <w:szCs w:val="96"/>
          <w:highlight w:val="none"/>
        </w:rPr>
      </w:pPr>
    </w:p>
    <w:p w14:paraId="57BF7454">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325DDB6">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55AB3B22">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77155FDC">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508C7CC">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2D4A5084">
      <w:pPr>
        <w:pStyle w:val="6"/>
        <w:spacing w:line="360" w:lineRule="auto"/>
        <w:rPr>
          <w:color w:val="auto"/>
          <w:highlight w:val="none"/>
        </w:rPr>
      </w:pPr>
    </w:p>
    <w:p w14:paraId="63A85018">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30D4E98D">
      <w:pPr>
        <w:pStyle w:val="30"/>
        <w:spacing w:after="120" w:line="360" w:lineRule="auto"/>
        <w:outlineLvl w:val="9"/>
        <w:rPr>
          <w:rFonts w:hAnsi="宋体" w:cs="宋体"/>
          <w:b/>
          <w:color w:val="auto"/>
          <w:sz w:val="36"/>
          <w:highlight w:val="none"/>
        </w:rPr>
      </w:pPr>
    </w:p>
    <w:p w14:paraId="2045C5B7">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E0B2C52">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2E60FB03">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73DD0F74">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7B0B876A">
      <w:pPr>
        <w:pStyle w:val="30"/>
        <w:spacing w:line="360" w:lineRule="auto"/>
        <w:outlineLvl w:val="9"/>
        <w:rPr>
          <w:rFonts w:hAnsi="宋体" w:cs="宋体"/>
          <w:bCs/>
          <w:color w:val="auto"/>
          <w:sz w:val="24"/>
          <w:highlight w:val="none"/>
        </w:rPr>
      </w:pPr>
    </w:p>
    <w:p w14:paraId="74FBEF3B">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53FB3759">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0B0CF8B1">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3A7EC444">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7E6152C">
      <w:pPr>
        <w:widowControl/>
        <w:shd w:val="clear" w:color="auto" w:fill="FFFFFF"/>
        <w:spacing w:line="360" w:lineRule="auto"/>
        <w:rPr>
          <w:rFonts w:ascii="宋体" w:hAnsi="宋体" w:cs="宋体"/>
          <w:b/>
          <w:color w:val="auto"/>
          <w:kern w:val="0"/>
          <w:sz w:val="28"/>
          <w:szCs w:val="28"/>
          <w:highlight w:val="none"/>
          <w:shd w:val="clear" w:color="auto" w:fill="FFFFFF"/>
        </w:rPr>
      </w:pPr>
    </w:p>
    <w:p w14:paraId="51E92BAE">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0E8F3D3">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275C9927">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747DFFB0">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298C054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02F53CD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2485A1D3">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16574DC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963008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A4F764E">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72475D70">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0CCC749">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A498115">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7BF6788F">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3D63FEE">
      <w:pPr>
        <w:widowControl/>
        <w:shd w:val="clear" w:color="auto" w:fill="FFFFFF"/>
        <w:spacing w:line="360" w:lineRule="auto"/>
        <w:jc w:val="left"/>
        <w:rPr>
          <w:rFonts w:ascii="宋体" w:hAnsi="宋体" w:cs="宋体"/>
          <w:color w:val="auto"/>
          <w:kern w:val="0"/>
          <w:sz w:val="24"/>
          <w:highlight w:val="none"/>
          <w:shd w:val="clear" w:color="auto" w:fill="FFFFFF"/>
        </w:rPr>
      </w:pPr>
    </w:p>
    <w:p w14:paraId="17159900">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733004D4">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2539FFC4">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46B0A0A">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E5FF062">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446E938">
      <w:pPr>
        <w:pStyle w:val="30"/>
        <w:spacing w:line="360" w:lineRule="auto"/>
        <w:jc w:val="center"/>
        <w:outlineLvl w:val="9"/>
        <w:rPr>
          <w:rFonts w:hAnsi="宋体" w:cs="宋体"/>
          <w:b/>
          <w:color w:val="auto"/>
          <w:szCs w:val="28"/>
          <w:highlight w:val="none"/>
        </w:rPr>
      </w:pPr>
    </w:p>
    <w:p w14:paraId="3F9112F3">
      <w:pPr>
        <w:spacing w:line="360" w:lineRule="auto"/>
        <w:rPr>
          <w:color w:val="auto"/>
          <w:highlight w:val="none"/>
        </w:rPr>
      </w:pPr>
    </w:p>
    <w:p w14:paraId="3DE26544">
      <w:pPr>
        <w:spacing w:line="360" w:lineRule="auto"/>
        <w:rPr>
          <w:color w:val="auto"/>
          <w:highlight w:val="none"/>
        </w:rPr>
      </w:pPr>
    </w:p>
    <w:p w14:paraId="51F5F1B9">
      <w:pPr>
        <w:spacing w:line="360" w:lineRule="auto"/>
        <w:rPr>
          <w:color w:val="auto"/>
          <w:highlight w:val="none"/>
        </w:rPr>
      </w:pPr>
    </w:p>
    <w:p w14:paraId="226C57C6">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0F879D32">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1F4343BB">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506C4979">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07C98A26">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22C938F6">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089842D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145B5A1C">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1288D8EF">
      <w:pPr>
        <w:pStyle w:val="17"/>
        <w:spacing w:before="0" w:beforeAutospacing="0" w:after="0" w:afterAutospacing="0" w:line="360" w:lineRule="auto"/>
        <w:rPr>
          <w:color w:val="auto"/>
          <w:highlight w:val="none"/>
        </w:rPr>
      </w:pPr>
      <w:r>
        <w:rPr>
          <w:rFonts w:hint="eastAsia"/>
          <w:color w:val="auto"/>
          <w:highlight w:val="none"/>
        </w:rPr>
        <w:t> </w:t>
      </w:r>
    </w:p>
    <w:p w14:paraId="61AF4928">
      <w:pPr>
        <w:pStyle w:val="17"/>
        <w:spacing w:before="0" w:beforeAutospacing="0" w:after="0" w:afterAutospacing="0" w:line="360" w:lineRule="auto"/>
        <w:rPr>
          <w:color w:val="auto"/>
          <w:highlight w:val="none"/>
        </w:rPr>
      </w:pPr>
      <w:r>
        <w:rPr>
          <w:rFonts w:hint="eastAsia"/>
          <w:color w:val="auto"/>
          <w:highlight w:val="none"/>
        </w:rPr>
        <w:t>授权方</w:t>
      </w:r>
    </w:p>
    <w:p w14:paraId="639C16E9">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176E603A">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465F5FA">
      <w:pPr>
        <w:pStyle w:val="17"/>
        <w:spacing w:before="0" w:beforeAutospacing="0" w:after="0" w:afterAutospacing="0" w:line="360" w:lineRule="auto"/>
        <w:rPr>
          <w:color w:val="auto"/>
          <w:highlight w:val="none"/>
        </w:rPr>
      </w:pPr>
      <w:r>
        <w:rPr>
          <w:rFonts w:hint="eastAsia"/>
          <w:color w:val="auto"/>
          <w:highlight w:val="none"/>
        </w:rPr>
        <w:t> </w:t>
      </w:r>
    </w:p>
    <w:p w14:paraId="479FA0C7">
      <w:pPr>
        <w:pStyle w:val="17"/>
        <w:spacing w:before="0" w:beforeAutospacing="0" w:after="0" w:afterAutospacing="0" w:line="360" w:lineRule="auto"/>
        <w:rPr>
          <w:color w:val="auto"/>
          <w:highlight w:val="none"/>
        </w:rPr>
      </w:pPr>
      <w:r>
        <w:rPr>
          <w:rFonts w:hint="eastAsia"/>
          <w:color w:val="auto"/>
          <w:highlight w:val="none"/>
        </w:rPr>
        <w:t>接受授权方</w:t>
      </w:r>
    </w:p>
    <w:p w14:paraId="779799C6">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89D2282">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B38FC8B">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5CB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5908666">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2378FCBC">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76AB1A97">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639CF51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3CBBB868">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6BC61B6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604AEADC">
      <w:pPr>
        <w:spacing w:line="360" w:lineRule="auto"/>
        <w:jc w:val="center"/>
        <w:outlineLvl w:val="2"/>
        <w:rPr>
          <w:rFonts w:ascii="宋体" w:hAnsi="宋体"/>
          <w:b/>
          <w:color w:val="auto"/>
          <w:sz w:val="32"/>
          <w:szCs w:val="22"/>
          <w:highlight w:val="none"/>
        </w:rPr>
      </w:pPr>
    </w:p>
    <w:p w14:paraId="1FB843A7">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6E3CFDB">
      <w:pPr>
        <w:spacing w:line="360" w:lineRule="auto"/>
        <w:jc w:val="center"/>
        <w:outlineLvl w:val="2"/>
        <w:rPr>
          <w:rFonts w:ascii="宋体" w:hAnsi="宋体"/>
          <w:b/>
          <w:color w:val="auto"/>
          <w:sz w:val="32"/>
          <w:szCs w:val="22"/>
          <w:highlight w:val="none"/>
        </w:rPr>
      </w:pPr>
    </w:p>
    <w:p w14:paraId="4FB738FE">
      <w:pPr>
        <w:spacing w:line="360" w:lineRule="auto"/>
        <w:jc w:val="center"/>
        <w:outlineLvl w:val="2"/>
        <w:rPr>
          <w:rFonts w:ascii="宋体" w:hAnsi="宋体"/>
          <w:b/>
          <w:color w:val="auto"/>
          <w:sz w:val="32"/>
          <w:szCs w:val="22"/>
          <w:highlight w:val="none"/>
        </w:rPr>
      </w:pPr>
    </w:p>
    <w:p w14:paraId="29D2B780">
      <w:pPr>
        <w:spacing w:line="360" w:lineRule="auto"/>
        <w:jc w:val="center"/>
        <w:outlineLvl w:val="2"/>
        <w:rPr>
          <w:rFonts w:ascii="宋体" w:hAnsi="宋体"/>
          <w:b/>
          <w:color w:val="auto"/>
          <w:sz w:val="32"/>
          <w:szCs w:val="22"/>
          <w:highlight w:val="none"/>
        </w:rPr>
      </w:pPr>
    </w:p>
    <w:p w14:paraId="7B1D02BE">
      <w:pPr>
        <w:spacing w:line="360" w:lineRule="auto"/>
        <w:jc w:val="center"/>
        <w:outlineLvl w:val="2"/>
        <w:rPr>
          <w:rFonts w:ascii="宋体" w:hAnsi="宋体"/>
          <w:b/>
          <w:color w:val="auto"/>
          <w:sz w:val="32"/>
          <w:szCs w:val="22"/>
          <w:highlight w:val="none"/>
        </w:rPr>
      </w:pPr>
    </w:p>
    <w:p w14:paraId="26490C98">
      <w:pPr>
        <w:spacing w:line="360" w:lineRule="auto"/>
        <w:jc w:val="center"/>
        <w:outlineLvl w:val="2"/>
        <w:rPr>
          <w:rFonts w:ascii="宋体" w:hAnsi="宋体"/>
          <w:b/>
          <w:color w:val="auto"/>
          <w:sz w:val="32"/>
          <w:szCs w:val="22"/>
          <w:highlight w:val="none"/>
        </w:rPr>
      </w:pPr>
    </w:p>
    <w:p w14:paraId="3296D6D7">
      <w:pPr>
        <w:spacing w:line="360" w:lineRule="auto"/>
        <w:jc w:val="center"/>
        <w:outlineLvl w:val="2"/>
        <w:rPr>
          <w:rFonts w:ascii="宋体" w:hAnsi="宋体"/>
          <w:b/>
          <w:color w:val="auto"/>
          <w:sz w:val="32"/>
          <w:szCs w:val="22"/>
          <w:highlight w:val="none"/>
        </w:rPr>
      </w:pPr>
    </w:p>
    <w:p w14:paraId="739C0B3E">
      <w:pPr>
        <w:spacing w:line="360" w:lineRule="auto"/>
        <w:jc w:val="center"/>
        <w:outlineLvl w:val="2"/>
        <w:rPr>
          <w:rFonts w:ascii="宋体" w:hAnsi="宋体"/>
          <w:b/>
          <w:color w:val="auto"/>
          <w:sz w:val="32"/>
          <w:szCs w:val="22"/>
          <w:highlight w:val="none"/>
        </w:rPr>
      </w:pPr>
    </w:p>
    <w:p w14:paraId="5083F3E9">
      <w:pPr>
        <w:spacing w:line="360" w:lineRule="auto"/>
        <w:jc w:val="center"/>
        <w:outlineLvl w:val="2"/>
        <w:rPr>
          <w:rFonts w:ascii="宋体" w:hAnsi="宋体"/>
          <w:b/>
          <w:color w:val="auto"/>
          <w:sz w:val="32"/>
          <w:szCs w:val="22"/>
          <w:highlight w:val="none"/>
        </w:rPr>
      </w:pPr>
    </w:p>
    <w:p w14:paraId="7DAE01B4">
      <w:pPr>
        <w:spacing w:line="360" w:lineRule="auto"/>
        <w:jc w:val="center"/>
        <w:outlineLvl w:val="2"/>
        <w:rPr>
          <w:rFonts w:ascii="宋体" w:hAnsi="宋体"/>
          <w:b/>
          <w:color w:val="auto"/>
          <w:sz w:val="32"/>
          <w:szCs w:val="22"/>
          <w:highlight w:val="none"/>
        </w:rPr>
      </w:pPr>
    </w:p>
    <w:p w14:paraId="3B25F556">
      <w:pPr>
        <w:spacing w:line="360" w:lineRule="auto"/>
        <w:jc w:val="center"/>
        <w:outlineLvl w:val="2"/>
        <w:rPr>
          <w:rFonts w:ascii="宋体" w:hAnsi="宋体"/>
          <w:b/>
          <w:color w:val="auto"/>
          <w:sz w:val="32"/>
          <w:szCs w:val="22"/>
          <w:highlight w:val="none"/>
        </w:rPr>
      </w:pPr>
    </w:p>
    <w:p w14:paraId="0DE9D1C9">
      <w:pPr>
        <w:spacing w:line="360" w:lineRule="auto"/>
        <w:jc w:val="center"/>
        <w:outlineLvl w:val="2"/>
        <w:rPr>
          <w:rFonts w:ascii="宋体" w:hAnsi="宋体"/>
          <w:b/>
          <w:color w:val="auto"/>
          <w:sz w:val="32"/>
          <w:szCs w:val="22"/>
          <w:highlight w:val="none"/>
        </w:rPr>
      </w:pPr>
    </w:p>
    <w:p w14:paraId="5DC710D7">
      <w:pPr>
        <w:spacing w:line="360" w:lineRule="auto"/>
        <w:jc w:val="center"/>
        <w:outlineLvl w:val="2"/>
        <w:rPr>
          <w:rFonts w:ascii="宋体" w:hAnsi="宋体"/>
          <w:b/>
          <w:color w:val="auto"/>
          <w:sz w:val="32"/>
          <w:szCs w:val="22"/>
          <w:highlight w:val="none"/>
        </w:rPr>
      </w:pPr>
    </w:p>
    <w:p w14:paraId="229E1DE2">
      <w:pPr>
        <w:spacing w:line="360" w:lineRule="auto"/>
        <w:outlineLvl w:val="2"/>
        <w:rPr>
          <w:rFonts w:ascii="宋体" w:hAnsi="宋体"/>
          <w:b/>
          <w:color w:val="auto"/>
          <w:sz w:val="32"/>
          <w:szCs w:val="22"/>
          <w:highlight w:val="none"/>
        </w:rPr>
      </w:pPr>
    </w:p>
    <w:p w14:paraId="3E6A57F4">
      <w:pPr>
        <w:pStyle w:val="7"/>
        <w:spacing w:line="360" w:lineRule="auto"/>
        <w:rPr>
          <w:rFonts w:ascii="Times New Roman" w:hAnsi="Times New Roman"/>
          <w:color w:val="auto"/>
          <w:highlight w:val="none"/>
        </w:rPr>
      </w:pPr>
    </w:p>
    <w:p w14:paraId="3F9BF91D">
      <w:pPr>
        <w:spacing w:line="360" w:lineRule="auto"/>
        <w:rPr>
          <w:rFonts w:ascii="Times New Roman" w:hAnsi="Times New Roman"/>
          <w:b/>
          <w:color w:val="auto"/>
          <w:sz w:val="32"/>
          <w:highlight w:val="none"/>
        </w:rPr>
      </w:pPr>
    </w:p>
    <w:p w14:paraId="643DD32C">
      <w:pPr>
        <w:pStyle w:val="7"/>
        <w:spacing w:line="360" w:lineRule="auto"/>
        <w:rPr>
          <w:rFonts w:ascii="Times New Roman" w:hAnsi="Times New Roman"/>
          <w:color w:val="auto"/>
          <w:highlight w:val="none"/>
        </w:rPr>
      </w:pPr>
    </w:p>
    <w:p w14:paraId="3450F97F">
      <w:pPr>
        <w:spacing w:line="360" w:lineRule="auto"/>
        <w:rPr>
          <w:rFonts w:ascii="Times New Roman" w:hAnsi="Times New Roman"/>
          <w:b/>
          <w:color w:val="auto"/>
          <w:sz w:val="32"/>
          <w:highlight w:val="none"/>
        </w:rPr>
      </w:pPr>
    </w:p>
    <w:p w14:paraId="3F089CDD">
      <w:pPr>
        <w:rPr>
          <w:rFonts w:ascii="宋体" w:hAnsi="宋体"/>
          <w:b/>
          <w:color w:val="auto"/>
          <w:sz w:val="28"/>
          <w:szCs w:val="28"/>
          <w:highlight w:val="none"/>
        </w:rPr>
      </w:pPr>
      <w:r>
        <w:rPr>
          <w:rFonts w:hint="eastAsia" w:ascii="宋体" w:hAnsi="宋体"/>
          <w:b/>
          <w:color w:val="auto"/>
          <w:sz w:val="28"/>
          <w:szCs w:val="28"/>
          <w:highlight w:val="none"/>
        </w:rPr>
        <w:br w:type="page"/>
      </w:r>
    </w:p>
    <w:p w14:paraId="393F4A56">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6DBD9E18">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4EFD0CA8">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3449B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8A053B1">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10AF44FC">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00C8BAED">
            <w:pPr>
              <w:pStyle w:val="34"/>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服务名称</w:t>
            </w:r>
          </w:p>
        </w:tc>
        <w:tc>
          <w:tcPr>
            <w:tcW w:w="2178" w:type="dxa"/>
          </w:tcPr>
          <w:p w14:paraId="615CB603">
            <w:pPr>
              <w:pStyle w:val="34"/>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服务期限</w:t>
            </w:r>
          </w:p>
        </w:tc>
        <w:tc>
          <w:tcPr>
            <w:tcW w:w="946" w:type="dxa"/>
          </w:tcPr>
          <w:p w14:paraId="1D80076D">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41978C00">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BC55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7A4B2A68">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0E7D3E53">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4F0A9414">
            <w:pPr>
              <w:spacing w:line="360" w:lineRule="auto"/>
              <w:rPr>
                <w:rFonts w:ascii="宋体" w:hAnsi="宋体" w:cs="宋体"/>
                <w:color w:val="auto"/>
                <w:sz w:val="24"/>
                <w:highlight w:val="none"/>
              </w:rPr>
            </w:pPr>
          </w:p>
        </w:tc>
        <w:tc>
          <w:tcPr>
            <w:tcW w:w="2178" w:type="dxa"/>
          </w:tcPr>
          <w:p w14:paraId="282D427B">
            <w:pPr>
              <w:spacing w:line="360" w:lineRule="auto"/>
              <w:rPr>
                <w:rFonts w:ascii="宋体" w:hAnsi="宋体" w:cs="宋体"/>
                <w:color w:val="auto"/>
                <w:sz w:val="24"/>
                <w:highlight w:val="none"/>
              </w:rPr>
            </w:pPr>
          </w:p>
        </w:tc>
        <w:tc>
          <w:tcPr>
            <w:tcW w:w="946" w:type="dxa"/>
          </w:tcPr>
          <w:p w14:paraId="1D0AD402">
            <w:pPr>
              <w:spacing w:line="360" w:lineRule="auto"/>
              <w:rPr>
                <w:rFonts w:ascii="宋体" w:hAnsi="宋体" w:cs="宋体"/>
                <w:color w:val="auto"/>
                <w:sz w:val="24"/>
                <w:highlight w:val="none"/>
              </w:rPr>
            </w:pPr>
          </w:p>
        </w:tc>
        <w:tc>
          <w:tcPr>
            <w:tcW w:w="1662" w:type="dxa"/>
          </w:tcPr>
          <w:p w14:paraId="598320FE">
            <w:pPr>
              <w:spacing w:line="360" w:lineRule="auto"/>
              <w:rPr>
                <w:rFonts w:ascii="宋体" w:hAnsi="宋体" w:cs="宋体"/>
                <w:color w:val="auto"/>
                <w:sz w:val="24"/>
                <w:highlight w:val="none"/>
              </w:rPr>
            </w:pPr>
          </w:p>
        </w:tc>
      </w:tr>
      <w:tr w14:paraId="01243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30D98CBE">
            <w:pPr>
              <w:spacing w:line="360" w:lineRule="auto"/>
              <w:rPr>
                <w:rFonts w:ascii="宋体" w:hAnsi="宋体" w:cs="宋体"/>
                <w:color w:val="auto"/>
                <w:sz w:val="24"/>
                <w:highlight w:val="none"/>
              </w:rPr>
            </w:pPr>
          </w:p>
        </w:tc>
        <w:tc>
          <w:tcPr>
            <w:tcW w:w="1014" w:type="dxa"/>
          </w:tcPr>
          <w:p w14:paraId="607E6762">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116BB0E3">
            <w:pPr>
              <w:spacing w:line="360" w:lineRule="auto"/>
              <w:rPr>
                <w:rFonts w:ascii="宋体" w:hAnsi="宋体" w:cs="宋体"/>
                <w:color w:val="auto"/>
                <w:sz w:val="24"/>
                <w:highlight w:val="none"/>
              </w:rPr>
            </w:pPr>
          </w:p>
        </w:tc>
        <w:tc>
          <w:tcPr>
            <w:tcW w:w="2178" w:type="dxa"/>
          </w:tcPr>
          <w:p w14:paraId="3BBF9491">
            <w:pPr>
              <w:spacing w:line="360" w:lineRule="auto"/>
              <w:rPr>
                <w:rFonts w:ascii="宋体" w:hAnsi="宋体" w:cs="宋体"/>
                <w:color w:val="auto"/>
                <w:sz w:val="24"/>
                <w:highlight w:val="none"/>
              </w:rPr>
            </w:pPr>
          </w:p>
        </w:tc>
        <w:tc>
          <w:tcPr>
            <w:tcW w:w="946" w:type="dxa"/>
          </w:tcPr>
          <w:p w14:paraId="63F3220E">
            <w:pPr>
              <w:spacing w:line="360" w:lineRule="auto"/>
              <w:rPr>
                <w:rFonts w:ascii="宋体" w:hAnsi="宋体" w:cs="宋体"/>
                <w:color w:val="auto"/>
                <w:sz w:val="24"/>
                <w:highlight w:val="none"/>
              </w:rPr>
            </w:pPr>
          </w:p>
        </w:tc>
        <w:tc>
          <w:tcPr>
            <w:tcW w:w="1662" w:type="dxa"/>
          </w:tcPr>
          <w:p w14:paraId="06109C37">
            <w:pPr>
              <w:spacing w:line="360" w:lineRule="auto"/>
              <w:rPr>
                <w:rFonts w:ascii="宋体" w:hAnsi="宋体" w:cs="宋体"/>
                <w:color w:val="auto"/>
                <w:sz w:val="24"/>
                <w:highlight w:val="none"/>
              </w:rPr>
            </w:pPr>
          </w:p>
        </w:tc>
      </w:tr>
      <w:tr w14:paraId="23B97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7EFF51D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1B6A6F4">
            <w:pPr>
              <w:spacing w:line="360" w:lineRule="auto"/>
              <w:rPr>
                <w:rFonts w:ascii="宋体" w:hAnsi="宋体" w:cs="宋体"/>
                <w:color w:val="auto"/>
                <w:sz w:val="24"/>
                <w:highlight w:val="none"/>
              </w:rPr>
            </w:pPr>
          </w:p>
        </w:tc>
        <w:tc>
          <w:tcPr>
            <w:tcW w:w="2500" w:type="dxa"/>
          </w:tcPr>
          <w:p w14:paraId="649C243E">
            <w:pPr>
              <w:spacing w:line="360" w:lineRule="auto"/>
              <w:rPr>
                <w:rFonts w:ascii="宋体" w:hAnsi="宋体" w:cs="宋体"/>
                <w:color w:val="auto"/>
                <w:sz w:val="24"/>
                <w:highlight w:val="none"/>
              </w:rPr>
            </w:pPr>
          </w:p>
        </w:tc>
        <w:tc>
          <w:tcPr>
            <w:tcW w:w="2178" w:type="dxa"/>
          </w:tcPr>
          <w:p w14:paraId="12FFFFBE">
            <w:pPr>
              <w:spacing w:line="360" w:lineRule="auto"/>
              <w:rPr>
                <w:rFonts w:ascii="宋体" w:hAnsi="宋体" w:cs="宋体"/>
                <w:color w:val="auto"/>
                <w:sz w:val="24"/>
                <w:highlight w:val="none"/>
              </w:rPr>
            </w:pPr>
          </w:p>
        </w:tc>
        <w:tc>
          <w:tcPr>
            <w:tcW w:w="946" w:type="dxa"/>
          </w:tcPr>
          <w:p w14:paraId="402FF2A2">
            <w:pPr>
              <w:spacing w:line="360" w:lineRule="auto"/>
              <w:rPr>
                <w:rFonts w:ascii="宋体" w:hAnsi="宋体" w:cs="宋体"/>
                <w:color w:val="auto"/>
                <w:sz w:val="24"/>
                <w:highlight w:val="none"/>
              </w:rPr>
            </w:pPr>
          </w:p>
        </w:tc>
        <w:tc>
          <w:tcPr>
            <w:tcW w:w="1662" w:type="dxa"/>
          </w:tcPr>
          <w:p w14:paraId="4DB77014">
            <w:pPr>
              <w:spacing w:line="360" w:lineRule="auto"/>
              <w:rPr>
                <w:rFonts w:ascii="宋体" w:hAnsi="宋体" w:cs="宋体"/>
                <w:color w:val="auto"/>
                <w:sz w:val="24"/>
                <w:highlight w:val="none"/>
              </w:rPr>
            </w:pPr>
          </w:p>
        </w:tc>
      </w:tr>
    </w:tbl>
    <w:p w14:paraId="533CC7BE">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65F7BB4B">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79B63E79">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”应与第三章《采购标的一览表》中的有关内容（“采购包”、“品目号”、“服务名称”及“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14:paraId="276A92CE">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1.2“规格”项下应填写服务提供者提供的服务标准及品牌（若有）。“来源地”应填写服务提供者的所在地。</w:t>
      </w:r>
    </w:p>
    <w:p w14:paraId="5D4C4BA2">
      <w:pPr>
        <w:pStyle w:val="34"/>
        <w:spacing w:line="360" w:lineRule="auto"/>
        <w:ind w:firstLine="480"/>
        <w:jc w:val="right"/>
        <w:rPr>
          <w:rFonts w:hint="default" w:ascii="宋体" w:hAnsi="宋体" w:cs="宋体"/>
          <w:color w:val="auto"/>
          <w:sz w:val="24"/>
          <w:szCs w:val="24"/>
          <w:highlight w:val="none"/>
        </w:rPr>
      </w:pPr>
    </w:p>
    <w:p w14:paraId="07421ACB">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DC21EEE">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E360F00">
      <w:pPr>
        <w:pStyle w:val="34"/>
        <w:spacing w:line="360" w:lineRule="auto"/>
        <w:jc w:val="both"/>
        <w:rPr>
          <w:rFonts w:hint="default" w:ascii="宋体" w:hAnsi="宋体" w:cs="宋体"/>
          <w:color w:val="auto"/>
          <w:sz w:val="24"/>
          <w:szCs w:val="24"/>
          <w:highlight w:val="none"/>
        </w:rPr>
      </w:pPr>
    </w:p>
    <w:p w14:paraId="0A1F8DAE">
      <w:pPr>
        <w:pStyle w:val="34"/>
        <w:spacing w:line="360" w:lineRule="auto"/>
        <w:jc w:val="both"/>
        <w:rPr>
          <w:rFonts w:hint="default" w:ascii="宋体" w:hAnsi="宋体" w:cs="宋体"/>
          <w:color w:val="auto"/>
          <w:sz w:val="24"/>
          <w:szCs w:val="24"/>
          <w:highlight w:val="none"/>
        </w:rPr>
      </w:pPr>
    </w:p>
    <w:p w14:paraId="5DEBF165">
      <w:pPr>
        <w:pStyle w:val="34"/>
        <w:spacing w:line="360" w:lineRule="auto"/>
        <w:jc w:val="both"/>
        <w:rPr>
          <w:rFonts w:hint="default" w:ascii="宋体" w:hAnsi="宋体" w:cs="宋体"/>
          <w:color w:val="auto"/>
          <w:sz w:val="24"/>
          <w:szCs w:val="24"/>
          <w:highlight w:val="none"/>
        </w:rPr>
      </w:pPr>
    </w:p>
    <w:p w14:paraId="7FC5726E">
      <w:pPr>
        <w:pStyle w:val="34"/>
        <w:spacing w:line="360" w:lineRule="auto"/>
        <w:jc w:val="both"/>
        <w:rPr>
          <w:rFonts w:hint="default" w:ascii="宋体" w:hAnsi="宋体" w:cs="宋体"/>
          <w:color w:val="auto"/>
          <w:sz w:val="24"/>
          <w:szCs w:val="24"/>
          <w:highlight w:val="none"/>
        </w:rPr>
      </w:pPr>
    </w:p>
    <w:p w14:paraId="6D195019">
      <w:pPr>
        <w:pStyle w:val="3"/>
        <w:spacing w:line="360" w:lineRule="auto"/>
        <w:ind w:left="0" w:leftChars="0"/>
        <w:rPr>
          <w:rFonts w:ascii="宋体" w:hAnsi="宋体" w:cs="宋体"/>
          <w:color w:val="auto"/>
          <w:sz w:val="24"/>
          <w:highlight w:val="none"/>
        </w:rPr>
      </w:pPr>
    </w:p>
    <w:p w14:paraId="0E5D5631">
      <w:pPr>
        <w:pStyle w:val="4"/>
        <w:spacing w:line="360" w:lineRule="auto"/>
        <w:rPr>
          <w:rFonts w:ascii="宋体" w:hAnsi="宋体" w:cs="宋体"/>
          <w:color w:val="auto"/>
          <w:sz w:val="24"/>
          <w:highlight w:val="none"/>
        </w:rPr>
      </w:pPr>
    </w:p>
    <w:p w14:paraId="7EC6862B">
      <w:pPr>
        <w:pStyle w:val="4"/>
        <w:spacing w:line="360" w:lineRule="auto"/>
        <w:rPr>
          <w:rFonts w:ascii="宋体" w:hAnsi="宋体" w:cs="宋体"/>
          <w:color w:val="auto"/>
          <w:sz w:val="24"/>
          <w:highlight w:val="none"/>
        </w:rPr>
      </w:pPr>
    </w:p>
    <w:p w14:paraId="4A202CE0">
      <w:pPr>
        <w:rPr>
          <w:rFonts w:ascii="宋体" w:hAnsi="宋体" w:cs="宋体"/>
          <w:color w:val="auto"/>
          <w:sz w:val="24"/>
          <w:highlight w:val="none"/>
        </w:rPr>
      </w:pPr>
      <w:r>
        <w:rPr>
          <w:rFonts w:ascii="宋体" w:hAnsi="宋体" w:cs="宋体"/>
          <w:color w:val="auto"/>
          <w:sz w:val="24"/>
          <w:highlight w:val="none"/>
        </w:rPr>
        <w:br w:type="page"/>
      </w:r>
    </w:p>
    <w:p w14:paraId="1846B82A">
      <w:pPr>
        <w:pStyle w:val="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1D13376E">
      <w:pPr>
        <w:pStyle w:val="4"/>
        <w:spacing w:line="360" w:lineRule="auto"/>
        <w:rPr>
          <w:rFonts w:ascii="宋体" w:hAnsi="宋体" w:cs="宋体"/>
          <w:b/>
          <w:bCs/>
          <w:color w:val="auto"/>
          <w:sz w:val="28"/>
          <w:szCs w:val="28"/>
          <w:highlight w:val="none"/>
        </w:rPr>
      </w:pPr>
    </w:p>
    <w:p w14:paraId="18942B5C">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14:paraId="240F109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49BB8B3">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16F394">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20ACAE">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13C352">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79555BF0">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0D30CF5">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7E312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0C513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0B6F02">
            <w:pPr>
              <w:pStyle w:val="17"/>
              <w:wordWrap w:val="0"/>
              <w:spacing w:before="0" w:beforeAutospacing="0" w:after="0" w:afterAutospacing="0" w:line="360" w:lineRule="auto"/>
              <w:jc w:val="center"/>
              <w:rPr>
                <w:color w:val="auto"/>
                <w:highlight w:val="none"/>
              </w:rPr>
            </w:pPr>
          </w:p>
        </w:tc>
      </w:tr>
      <w:tr w14:paraId="2EB7333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C3026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D9EC7D1">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92A1E9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187FC49">
            <w:pPr>
              <w:pStyle w:val="17"/>
              <w:wordWrap w:val="0"/>
              <w:spacing w:before="0" w:beforeAutospacing="0" w:after="0" w:afterAutospacing="0" w:line="360" w:lineRule="auto"/>
              <w:jc w:val="center"/>
              <w:rPr>
                <w:color w:val="auto"/>
                <w:highlight w:val="none"/>
              </w:rPr>
            </w:pPr>
          </w:p>
        </w:tc>
      </w:tr>
      <w:tr w14:paraId="084DE10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0FFEB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2619E1">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0CCC89">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8554C0">
            <w:pPr>
              <w:pStyle w:val="17"/>
              <w:wordWrap w:val="0"/>
              <w:spacing w:before="0" w:beforeAutospacing="0" w:after="0" w:afterAutospacing="0" w:line="360" w:lineRule="auto"/>
              <w:jc w:val="center"/>
              <w:rPr>
                <w:color w:val="auto"/>
                <w:highlight w:val="none"/>
              </w:rPr>
            </w:pPr>
          </w:p>
        </w:tc>
      </w:tr>
    </w:tbl>
    <w:p w14:paraId="1FEE62BD">
      <w:pPr>
        <w:pStyle w:val="17"/>
        <w:spacing w:before="0" w:beforeAutospacing="0" w:after="0" w:afterAutospacing="0" w:line="360" w:lineRule="auto"/>
        <w:rPr>
          <w:b/>
          <w:bCs/>
          <w:color w:val="auto"/>
          <w:highlight w:val="none"/>
        </w:rPr>
      </w:pPr>
      <w:r>
        <w:rPr>
          <w:rFonts w:hint="eastAsia"/>
          <w:b/>
          <w:bCs/>
          <w:color w:val="auto"/>
          <w:highlight w:val="none"/>
        </w:rPr>
        <w:t>注：</w:t>
      </w:r>
    </w:p>
    <w:p w14:paraId="5E39D4A1">
      <w:pPr>
        <w:pStyle w:val="17"/>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1E995251">
      <w:pPr>
        <w:pStyle w:val="34"/>
        <w:spacing w:line="360" w:lineRule="auto"/>
        <w:ind w:firstLine="480"/>
        <w:jc w:val="right"/>
        <w:rPr>
          <w:rFonts w:hint="default" w:ascii="宋体" w:hAnsi="宋体" w:cs="宋体"/>
          <w:color w:val="auto"/>
          <w:sz w:val="24"/>
          <w:szCs w:val="24"/>
          <w:highlight w:val="none"/>
        </w:rPr>
      </w:pPr>
    </w:p>
    <w:p w14:paraId="384A38B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BCC12EE">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BAA3309">
      <w:pPr>
        <w:pStyle w:val="3"/>
        <w:spacing w:line="360" w:lineRule="auto"/>
        <w:ind w:left="0" w:leftChars="0"/>
        <w:rPr>
          <w:rFonts w:ascii="宋体" w:hAnsi="宋体" w:cs="宋体"/>
          <w:color w:val="auto"/>
          <w:sz w:val="24"/>
          <w:highlight w:val="none"/>
        </w:rPr>
      </w:pPr>
    </w:p>
    <w:p w14:paraId="0D3FC792">
      <w:pPr>
        <w:pStyle w:val="4"/>
        <w:spacing w:line="360" w:lineRule="auto"/>
        <w:rPr>
          <w:rFonts w:ascii="宋体" w:hAnsi="宋体" w:cs="宋体"/>
          <w:color w:val="auto"/>
          <w:sz w:val="24"/>
          <w:highlight w:val="none"/>
        </w:rPr>
      </w:pPr>
    </w:p>
    <w:p w14:paraId="62990C79">
      <w:pPr>
        <w:pStyle w:val="4"/>
        <w:spacing w:line="360" w:lineRule="auto"/>
        <w:rPr>
          <w:rFonts w:ascii="宋体" w:hAnsi="宋体" w:cs="宋体"/>
          <w:color w:val="auto"/>
          <w:sz w:val="24"/>
          <w:highlight w:val="none"/>
        </w:rPr>
      </w:pPr>
    </w:p>
    <w:p w14:paraId="24C9D206">
      <w:pPr>
        <w:pStyle w:val="4"/>
        <w:spacing w:line="360" w:lineRule="auto"/>
        <w:rPr>
          <w:rFonts w:ascii="宋体" w:hAnsi="宋体" w:cs="宋体"/>
          <w:color w:val="auto"/>
          <w:sz w:val="24"/>
          <w:highlight w:val="none"/>
        </w:rPr>
      </w:pPr>
    </w:p>
    <w:p w14:paraId="7E6812D9">
      <w:pPr>
        <w:pStyle w:val="4"/>
        <w:spacing w:line="360" w:lineRule="auto"/>
        <w:rPr>
          <w:rFonts w:ascii="宋体" w:hAnsi="宋体" w:cs="宋体"/>
          <w:color w:val="auto"/>
          <w:sz w:val="24"/>
          <w:highlight w:val="none"/>
        </w:rPr>
      </w:pPr>
    </w:p>
    <w:p w14:paraId="0E323103">
      <w:pPr>
        <w:pStyle w:val="4"/>
        <w:spacing w:line="360" w:lineRule="auto"/>
        <w:rPr>
          <w:rFonts w:ascii="宋体" w:hAnsi="宋体" w:cs="宋体"/>
          <w:color w:val="auto"/>
          <w:sz w:val="24"/>
          <w:highlight w:val="none"/>
        </w:rPr>
      </w:pPr>
    </w:p>
    <w:p w14:paraId="7CDF4A58">
      <w:pPr>
        <w:pStyle w:val="4"/>
        <w:spacing w:line="360" w:lineRule="auto"/>
        <w:rPr>
          <w:rFonts w:ascii="宋体" w:hAnsi="宋体" w:cs="宋体"/>
          <w:color w:val="auto"/>
          <w:sz w:val="24"/>
          <w:highlight w:val="none"/>
        </w:rPr>
      </w:pPr>
    </w:p>
    <w:p w14:paraId="13877FAE">
      <w:pPr>
        <w:pStyle w:val="4"/>
        <w:spacing w:line="360" w:lineRule="auto"/>
        <w:rPr>
          <w:rFonts w:ascii="宋体" w:hAnsi="宋体" w:cs="宋体"/>
          <w:color w:val="auto"/>
          <w:sz w:val="24"/>
          <w:highlight w:val="none"/>
        </w:rPr>
      </w:pPr>
    </w:p>
    <w:p w14:paraId="2D45A3DA">
      <w:pPr>
        <w:pStyle w:val="4"/>
        <w:spacing w:line="360" w:lineRule="auto"/>
        <w:rPr>
          <w:rFonts w:ascii="宋体" w:hAnsi="宋体" w:cs="宋体"/>
          <w:color w:val="auto"/>
          <w:sz w:val="24"/>
          <w:highlight w:val="none"/>
        </w:rPr>
      </w:pPr>
    </w:p>
    <w:p w14:paraId="22A99E65">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61FE91E">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25A33041">
      <w:pPr>
        <w:pStyle w:val="3"/>
        <w:spacing w:line="360" w:lineRule="auto"/>
        <w:ind w:left="0" w:leftChars="0"/>
        <w:rPr>
          <w:rFonts w:ascii="宋体" w:hAnsi="宋体" w:cs="宋体"/>
          <w:b/>
          <w:bCs/>
          <w:color w:val="auto"/>
          <w:sz w:val="28"/>
          <w:szCs w:val="28"/>
          <w:highlight w:val="none"/>
        </w:rPr>
      </w:pPr>
    </w:p>
    <w:p w14:paraId="697D622F">
      <w:pPr>
        <w:pStyle w:val="4"/>
        <w:spacing w:line="360" w:lineRule="auto"/>
        <w:rPr>
          <w:rFonts w:ascii="宋体" w:hAnsi="宋体" w:cs="宋体"/>
          <w:b/>
          <w:bCs/>
          <w:color w:val="auto"/>
          <w:sz w:val="28"/>
          <w:szCs w:val="28"/>
          <w:highlight w:val="none"/>
        </w:rPr>
      </w:pPr>
    </w:p>
    <w:p w14:paraId="4D994CD5">
      <w:pPr>
        <w:pStyle w:val="4"/>
        <w:spacing w:line="360" w:lineRule="auto"/>
        <w:rPr>
          <w:rFonts w:ascii="宋体" w:hAnsi="宋体" w:cs="宋体"/>
          <w:b/>
          <w:bCs/>
          <w:color w:val="auto"/>
          <w:sz w:val="28"/>
          <w:szCs w:val="28"/>
          <w:highlight w:val="none"/>
        </w:rPr>
      </w:pPr>
    </w:p>
    <w:p w14:paraId="6041B2F2">
      <w:pPr>
        <w:pStyle w:val="3"/>
        <w:spacing w:line="360" w:lineRule="auto"/>
        <w:ind w:left="0" w:leftChars="0"/>
        <w:rPr>
          <w:rFonts w:ascii="宋体" w:hAnsi="宋体" w:cs="宋体"/>
          <w:b/>
          <w:bCs/>
          <w:color w:val="auto"/>
          <w:sz w:val="28"/>
          <w:szCs w:val="28"/>
          <w:highlight w:val="none"/>
        </w:rPr>
      </w:pPr>
    </w:p>
    <w:p w14:paraId="04C7695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EB9E834">
      <w:pPr>
        <w:pStyle w:val="4"/>
        <w:spacing w:line="360" w:lineRule="auto"/>
        <w:rPr>
          <w:rFonts w:ascii="宋体" w:hAnsi="宋体" w:cs="宋体"/>
          <w:b/>
          <w:bCs/>
          <w:color w:val="auto"/>
          <w:sz w:val="28"/>
          <w:szCs w:val="28"/>
          <w:highlight w:val="none"/>
        </w:rPr>
      </w:pPr>
    </w:p>
    <w:p w14:paraId="2FD6FE72">
      <w:pPr>
        <w:pStyle w:val="34"/>
        <w:spacing w:line="360" w:lineRule="auto"/>
        <w:ind w:firstLine="480"/>
        <w:jc w:val="right"/>
        <w:rPr>
          <w:rFonts w:hint="default" w:ascii="宋体" w:hAnsi="宋体" w:cs="宋体"/>
          <w:color w:val="auto"/>
          <w:sz w:val="24"/>
          <w:szCs w:val="24"/>
          <w:highlight w:val="none"/>
        </w:rPr>
      </w:pPr>
    </w:p>
    <w:p w14:paraId="50A5BDA7">
      <w:pPr>
        <w:pStyle w:val="34"/>
        <w:spacing w:line="360" w:lineRule="auto"/>
        <w:ind w:firstLine="480"/>
        <w:jc w:val="right"/>
        <w:rPr>
          <w:rFonts w:hint="default" w:ascii="宋体" w:hAnsi="宋体" w:cs="宋体"/>
          <w:color w:val="auto"/>
          <w:sz w:val="24"/>
          <w:szCs w:val="24"/>
          <w:highlight w:val="none"/>
        </w:rPr>
      </w:pPr>
    </w:p>
    <w:p w14:paraId="6750C41C">
      <w:pPr>
        <w:pStyle w:val="34"/>
        <w:spacing w:line="360" w:lineRule="auto"/>
        <w:ind w:firstLine="480"/>
        <w:jc w:val="right"/>
        <w:rPr>
          <w:rFonts w:hint="default" w:ascii="宋体" w:hAnsi="宋体" w:cs="宋体"/>
          <w:color w:val="auto"/>
          <w:sz w:val="24"/>
          <w:szCs w:val="24"/>
          <w:highlight w:val="none"/>
        </w:rPr>
      </w:pPr>
    </w:p>
    <w:p w14:paraId="00DFB1C3">
      <w:pPr>
        <w:pStyle w:val="34"/>
        <w:spacing w:line="360" w:lineRule="auto"/>
        <w:ind w:firstLine="480"/>
        <w:jc w:val="right"/>
        <w:rPr>
          <w:rFonts w:hint="default" w:ascii="宋体" w:hAnsi="宋体" w:cs="宋体"/>
          <w:color w:val="auto"/>
          <w:sz w:val="24"/>
          <w:szCs w:val="24"/>
          <w:highlight w:val="none"/>
        </w:rPr>
      </w:pPr>
    </w:p>
    <w:p w14:paraId="33806446">
      <w:pPr>
        <w:pStyle w:val="34"/>
        <w:spacing w:line="360" w:lineRule="auto"/>
        <w:ind w:firstLine="480"/>
        <w:jc w:val="right"/>
        <w:rPr>
          <w:rFonts w:hint="default" w:ascii="宋体" w:hAnsi="宋体" w:cs="宋体"/>
          <w:color w:val="auto"/>
          <w:sz w:val="24"/>
          <w:szCs w:val="24"/>
          <w:highlight w:val="none"/>
        </w:rPr>
      </w:pPr>
    </w:p>
    <w:p w14:paraId="39180B99">
      <w:pPr>
        <w:pStyle w:val="34"/>
        <w:spacing w:line="360" w:lineRule="auto"/>
        <w:ind w:firstLine="480"/>
        <w:jc w:val="right"/>
        <w:rPr>
          <w:rFonts w:hint="default" w:ascii="宋体" w:hAnsi="宋体" w:cs="宋体"/>
          <w:color w:val="auto"/>
          <w:sz w:val="24"/>
          <w:szCs w:val="24"/>
          <w:highlight w:val="none"/>
        </w:rPr>
      </w:pPr>
    </w:p>
    <w:p w14:paraId="5949BE5E">
      <w:pPr>
        <w:pStyle w:val="34"/>
        <w:spacing w:line="360" w:lineRule="auto"/>
        <w:ind w:firstLine="480"/>
        <w:jc w:val="right"/>
        <w:rPr>
          <w:rFonts w:hint="default" w:ascii="宋体" w:hAnsi="宋体" w:cs="宋体"/>
          <w:color w:val="auto"/>
          <w:sz w:val="24"/>
          <w:szCs w:val="24"/>
          <w:highlight w:val="none"/>
        </w:rPr>
      </w:pPr>
    </w:p>
    <w:p w14:paraId="7FAC9FB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6B9EC4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81F81F1">
      <w:pPr>
        <w:pStyle w:val="4"/>
        <w:spacing w:line="360" w:lineRule="auto"/>
        <w:rPr>
          <w:rFonts w:ascii="宋体" w:hAnsi="宋体" w:cs="宋体"/>
          <w:b/>
          <w:bCs/>
          <w:color w:val="auto"/>
          <w:sz w:val="28"/>
          <w:szCs w:val="28"/>
          <w:highlight w:val="none"/>
        </w:rPr>
      </w:pPr>
    </w:p>
    <w:p w14:paraId="59C1D37A">
      <w:pPr>
        <w:pStyle w:val="3"/>
        <w:spacing w:line="360" w:lineRule="auto"/>
        <w:ind w:left="0" w:leftChars="0"/>
        <w:jc w:val="center"/>
        <w:rPr>
          <w:rFonts w:ascii="宋体" w:hAnsi="宋体" w:cs="宋体"/>
          <w:b/>
          <w:bCs/>
          <w:color w:val="auto"/>
          <w:sz w:val="28"/>
          <w:szCs w:val="28"/>
          <w:highlight w:val="none"/>
        </w:rPr>
      </w:pPr>
    </w:p>
    <w:p w14:paraId="695FEA92">
      <w:pPr>
        <w:pStyle w:val="3"/>
        <w:spacing w:line="360" w:lineRule="auto"/>
        <w:ind w:left="0" w:leftChars="0"/>
        <w:jc w:val="center"/>
        <w:rPr>
          <w:rFonts w:ascii="宋体" w:hAnsi="宋体" w:cs="宋体"/>
          <w:b/>
          <w:bCs/>
          <w:color w:val="auto"/>
          <w:sz w:val="28"/>
          <w:szCs w:val="28"/>
          <w:highlight w:val="none"/>
        </w:rPr>
      </w:pPr>
    </w:p>
    <w:p w14:paraId="412FC4EC">
      <w:pPr>
        <w:pStyle w:val="3"/>
        <w:spacing w:line="360" w:lineRule="auto"/>
        <w:ind w:left="0" w:leftChars="0"/>
        <w:jc w:val="center"/>
        <w:rPr>
          <w:rFonts w:ascii="宋体" w:hAnsi="宋体" w:cs="宋体"/>
          <w:b/>
          <w:bCs/>
          <w:color w:val="auto"/>
          <w:sz w:val="28"/>
          <w:szCs w:val="28"/>
          <w:highlight w:val="none"/>
        </w:rPr>
      </w:pPr>
    </w:p>
    <w:p w14:paraId="6CDD9D23">
      <w:pPr>
        <w:pStyle w:val="3"/>
        <w:spacing w:line="360" w:lineRule="auto"/>
        <w:ind w:left="0" w:leftChars="0"/>
        <w:jc w:val="center"/>
        <w:rPr>
          <w:rFonts w:ascii="宋体" w:hAnsi="宋体" w:cs="宋体"/>
          <w:b/>
          <w:bCs/>
          <w:color w:val="auto"/>
          <w:sz w:val="28"/>
          <w:szCs w:val="28"/>
          <w:highlight w:val="none"/>
        </w:rPr>
      </w:pPr>
    </w:p>
    <w:p w14:paraId="083E24C4">
      <w:pPr>
        <w:pStyle w:val="3"/>
        <w:spacing w:line="360" w:lineRule="auto"/>
        <w:ind w:left="0" w:leftChars="0"/>
        <w:jc w:val="center"/>
        <w:rPr>
          <w:rFonts w:ascii="宋体" w:hAnsi="宋体" w:cs="宋体"/>
          <w:b/>
          <w:bCs/>
          <w:color w:val="auto"/>
          <w:sz w:val="28"/>
          <w:szCs w:val="28"/>
          <w:highlight w:val="none"/>
        </w:rPr>
      </w:pPr>
    </w:p>
    <w:p w14:paraId="17D3653C">
      <w:pPr>
        <w:pStyle w:val="3"/>
        <w:spacing w:line="360" w:lineRule="auto"/>
        <w:ind w:left="0" w:leftChars="0"/>
        <w:jc w:val="center"/>
        <w:rPr>
          <w:rFonts w:ascii="宋体" w:hAnsi="宋体" w:cs="宋体"/>
          <w:b/>
          <w:bCs/>
          <w:color w:val="auto"/>
          <w:sz w:val="28"/>
          <w:szCs w:val="28"/>
          <w:highlight w:val="none"/>
        </w:rPr>
      </w:pPr>
    </w:p>
    <w:p w14:paraId="47DE62F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37A67C3">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7C6098B">
      <w:pPr>
        <w:pStyle w:val="3"/>
        <w:spacing w:line="360" w:lineRule="auto"/>
        <w:ind w:left="0" w:leftChars="0"/>
        <w:jc w:val="center"/>
        <w:rPr>
          <w:rFonts w:ascii="宋体" w:hAnsi="宋体" w:cs="宋体"/>
          <w:b/>
          <w:bCs/>
          <w:color w:val="auto"/>
          <w:sz w:val="28"/>
          <w:szCs w:val="28"/>
          <w:highlight w:val="none"/>
        </w:rPr>
      </w:pPr>
    </w:p>
    <w:p w14:paraId="695EDB0D">
      <w:pPr>
        <w:pStyle w:val="3"/>
        <w:spacing w:line="360" w:lineRule="auto"/>
        <w:ind w:left="0" w:leftChars="0"/>
        <w:jc w:val="center"/>
        <w:rPr>
          <w:rFonts w:ascii="宋体" w:hAnsi="宋体" w:cs="宋体"/>
          <w:b/>
          <w:bCs/>
          <w:color w:val="auto"/>
          <w:sz w:val="28"/>
          <w:szCs w:val="28"/>
          <w:highlight w:val="none"/>
        </w:rPr>
      </w:pPr>
    </w:p>
    <w:p w14:paraId="744750F4">
      <w:pPr>
        <w:pStyle w:val="3"/>
        <w:spacing w:line="360" w:lineRule="auto"/>
        <w:ind w:left="0" w:leftChars="0"/>
        <w:jc w:val="center"/>
        <w:rPr>
          <w:rFonts w:ascii="宋体" w:hAnsi="宋体" w:cs="宋体"/>
          <w:b/>
          <w:bCs/>
          <w:color w:val="auto"/>
          <w:sz w:val="28"/>
          <w:szCs w:val="28"/>
          <w:highlight w:val="none"/>
        </w:rPr>
      </w:pPr>
    </w:p>
    <w:p w14:paraId="6F16F1D8">
      <w:pPr>
        <w:pStyle w:val="3"/>
        <w:spacing w:line="360" w:lineRule="auto"/>
        <w:ind w:left="0" w:leftChars="0"/>
        <w:jc w:val="center"/>
        <w:rPr>
          <w:rFonts w:ascii="宋体" w:hAnsi="宋体" w:cs="宋体"/>
          <w:b/>
          <w:bCs/>
          <w:color w:val="auto"/>
          <w:sz w:val="28"/>
          <w:szCs w:val="28"/>
          <w:highlight w:val="none"/>
        </w:rPr>
      </w:pPr>
    </w:p>
    <w:p w14:paraId="7E706081">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33D56760">
      <w:pPr>
        <w:pStyle w:val="4"/>
        <w:spacing w:line="360" w:lineRule="auto"/>
        <w:rPr>
          <w:rFonts w:ascii="宋体" w:hAnsi="宋体" w:cs="宋体"/>
          <w:b/>
          <w:bCs/>
          <w:color w:val="auto"/>
          <w:sz w:val="28"/>
          <w:szCs w:val="28"/>
          <w:highlight w:val="none"/>
        </w:rPr>
      </w:pPr>
    </w:p>
    <w:p w14:paraId="6A282722">
      <w:pPr>
        <w:pStyle w:val="34"/>
        <w:spacing w:line="360" w:lineRule="auto"/>
        <w:ind w:firstLine="480"/>
        <w:jc w:val="right"/>
        <w:rPr>
          <w:rFonts w:hint="default" w:ascii="宋体" w:hAnsi="宋体" w:cs="宋体"/>
          <w:color w:val="auto"/>
          <w:sz w:val="24"/>
          <w:szCs w:val="24"/>
          <w:highlight w:val="none"/>
        </w:rPr>
      </w:pPr>
    </w:p>
    <w:p w14:paraId="1A08217F">
      <w:pPr>
        <w:pStyle w:val="34"/>
        <w:spacing w:line="360" w:lineRule="auto"/>
        <w:ind w:firstLine="480"/>
        <w:jc w:val="right"/>
        <w:rPr>
          <w:rFonts w:hint="default" w:ascii="宋体" w:hAnsi="宋体" w:cs="宋体"/>
          <w:color w:val="auto"/>
          <w:sz w:val="24"/>
          <w:szCs w:val="24"/>
          <w:highlight w:val="none"/>
        </w:rPr>
      </w:pPr>
    </w:p>
    <w:p w14:paraId="6B8708F6">
      <w:pPr>
        <w:pStyle w:val="34"/>
        <w:spacing w:line="360" w:lineRule="auto"/>
        <w:ind w:firstLine="480"/>
        <w:jc w:val="right"/>
        <w:rPr>
          <w:rFonts w:hint="default" w:ascii="宋体" w:hAnsi="宋体" w:cs="宋体"/>
          <w:color w:val="auto"/>
          <w:sz w:val="24"/>
          <w:szCs w:val="24"/>
          <w:highlight w:val="none"/>
        </w:rPr>
      </w:pPr>
    </w:p>
    <w:p w14:paraId="0E36DFC6">
      <w:pPr>
        <w:pStyle w:val="34"/>
        <w:spacing w:line="360" w:lineRule="auto"/>
        <w:ind w:firstLine="480"/>
        <w:jc w:val="right"/>
        <w:rPr>
          <w:rFonts w:hint="default" w:ascii="宋体" w:hAnsi="宋体" w:cs="宋体"/>
          <w:color w:val="auto"/>
          <w:sz w:val="24"/>
          <w:szCs w:val="24"/>
          <w:highlight w:val="none"/>
        </w:rPr>
      </w:pPr>
    </w:p>
    <w:p w14:paraId="0AF9C8E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9EEA1B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72FB3E">
      <w:pPr>
        <w:pStyle w:val="4"/>
        <w:spacing w:line="360" w:lineRule="auto"/>
        <w:rPr>
          <w:rFonts w:ascii="宋体" w:hAnsi="宋体" w:cs="宋体"/>
          <w:b/>
          <w:bCs/>
          <w:color w:val="auto"/>
          <w:sz w:val="28"/>
          <w:szCs w:val="28"/>
          <w:highlight w:val="none"/>
        </w:rPr>
      </w:pPr>
    </w:p>
    <w:p w14:paraId="4BB10008">
      <w:pPr>
        <w:pStyle w:val="4"/>
        <w:spacing w:line="360" w:lineRule="auto"/>
        <w:rPr>
          <w:color w:val="auto"/>
          <w:highlight w:val="none"/>
        </w:rPr>
      </w:pPr>
    </w:p>
    <w:p w14:paraId="18DBA92E">
      <w:pPr>
        <w:pStyle w:val="4"/>
        <w:spacing w:line="360" w:lineRule="auto"/>
        <w:rPr>
          <w:color w:val="auto"/>
          <w:highlight w:val="none"/>
        </w:rPr>
      </w:pPr>
    </w:p>
    <w:p w14:paraId="290099BB">
      <w:pPr>
        <w:pStyle w:val="4"/>
        <w:spacing w:line="360" w:lineRule="auto"/>
        <w:rPr>
          <w:color w:val="auto"/>
          <w:highlight w:val="none"/>
        </w:rPr>
      </w:pPr>
    </w:p>
    <w:p w14:paraId="7230360A">
      <w:pPr>
        <w:pStyle w:val="4"/>
        <w:spacing w:line="360" w:lineRule="auto"/>
        <w:rPr>
          <w:color w:val="auto"/>
          <w:highlight w:val="none"/>
        </w:rPr>
      </w:pPr>
    </w:p>
    <w:p w14:paraId="4CCFDB9A">
      <w:pPr>
        <w:pStyle w:val="4"/>
        <w:spacing w:line="360" w:lineRule="auto"/>
        <w:rPr>
          <w:color w:val="auto"/>
          <w:highlight w:val="none"/>
        </w:rPr>
      </w:pPr>
    </w:p>
    <w:p w14:paraId="6CC4B191">
      <w:pPr>
        <w:pStyle w:val="4"/>
        <w:spacing w:line="360" w:lineRule="auto"/>
        <w:rPr>
          <w:color w:val="auto"/>
          <w:highlight w:val="none"/>
        </w:rPr>
      </w:pPr>
    </w:p>
    <w:p w14:paraId="47ECC97A">
      <w:pPr>
        <w:pStyle w:val="4"/>
        <w:spacing w:line="360" w:lineRule="auto"/>
        <w:rPr>
          <w:color w:val="auto"/>
          <w:highlight w:val="none"/>
        </w:rPr>
      </w:pPr>
    </w:p>
    <w:p w14:paraId="33E72A54">
      <w:pPr>
        <w:pStyle w:val="4"/>
        <w:spacing w:line="360" w:lineRule="auto"/>
        <w:rPr>
          <w:color w:val="auto"/>
          <w:highlight w:val="none"/>
        </w:rPr>
      </w:pPr>
    </w:p>
    <w:p w14:paraId="7E7D43E7">
      <w:pPr>
        <w:pStyle w:val="4"/>
        <w:spacing w:line="360" w:lineRule="auto"/>
        <w:rPr>
          <w:color w:val="auto"/>
          <w:highlight w:val="none"/>
        </w:rPr>
      </w:pPr>
    </w:p>
    <w:p w14:paraId="64D4595B">
      <w:pPr>
        <w:pStyle w:val="4"/>
        <w:spacing w:line="360" w:lineRule="auto"/>
        <w:rPr>
          <w:color w:val="auto"/>
          <w:highlight w:val="none"/>
        </w:rPr>
      </w:pPr>
    </w:p>
    <w:p w14:paraId="346B4DB7">
      <w:pPr>
        <w:pStyle w:val="4"/>
        <w:spacing w:line="360" w:lineRule="auto"/>
        <w:rPr>
          <w:color w:val="auto"/>
          <w:highlight w:val="none"/>
        </w:rPr>
      </w:pPr>
    </w:p>
    <w:p w14:paraId="359C0EE9">
      <w:pPr>
        <w:pStyle w:val="4"/>
        <w:spacing w:line="360" w:lineRule="auto"/>
        <w:rPr>
          <w:color w:val="auto"/>
          <w:highlight w:val="none"/>
        </w:rPr>
      </w:pPr>
    </w:p>
    <w:p w14:paraId="005E031C">
      <w:pPr>
        <w:pStyle w:val="4"/>
        <w:spacing w:line="360" w:lineRule="auto"/>
        <w:rPr>
          <w:color w:val="auto"/>
          <w:highlight w:val="none"/>
        </w:rPr>
      </w:pPr>
    </w:p>
    <w:p w14:paraId="2C051450">
      <w:pPr>
        <w:pStyle w:val="4"/>
        <w:spacing w:line="360" w:lineRule="auto"/>
        <w:rPr>
          <w:color w:val="auto"/>
          <w:highlight w:val="none"/>
        </w:rPr>
      </w:pPr>
    </w:p>
    <w:p w14:paraId="4812C60C">
      <w:pPr>
        <w:pStyle w:val="4"/>
        <w:spacing w:line="360" w:lineRule="auto"/>
        <w:rPr>
          <w:color w:val="auto"/>
          <w:highlight w:val="none"/>
        </w:rPr>
      </w:pPr>
    </w:p>
    <w:p w14:paraId="34B4B20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153FDB3">
      <w:pPr>
        <w:pStyle w:val="8"/>
        <w:spacing w:line="360" w:lineRule="auto"/>
        <w:rPr>
          <w:rFonts w:ascii="楷体_GB2312" w:eastAsia="楷体_GB2312"/>
          <w:b/>
          <w:color w:val="auto"/>
          <w:sz w:val="40"/>
          <w:szCs w:val="40"/>
          <w:highlight w:val="none"/>
        </w:rPr>
      </w:pPr>
    </w:p>
    <w:p w14:paraId="3EC0090F">
      <w:pPr>
        <w:pStyle w:val="3"/>
        <w:spacing w:line="360" w:lineRule="auto"/>
        <w:rPr>
          <w:rFonts w:ascii="楷体_GB2312" w:eastAsia="楷体_GB2312"/>
          <w:b/>
          <w:color w:val="auto"/>
          <w:sz w:val="40"/>
          <w:szCs w:val="40"/>
          <w:highlight w:val="none"/>
        </w:rPr>
      </w:pPr>
    </w:p>
    <w:p w14:paraId="73B5D3EB">
      <w:pPr>
        <w:pStyle w:val="8"/>
        <w:spacing w:line="360" w:lineRule="auto"/>
        <w:rPr>
          <w:rFonts w:ascii="楷体_GB2312" w:eastAsia="楷体_GB2312"/>
          <w:b/>
          <w:color w:val="auto"/>
          <w:sz w:val="40"/>
          <w:szCs w:val="40"/>
          <w:highlight w:val="none"/>
        </w:rPr>
      </w:pPr>
    </w:p>
    <w:p w14:paraId="71053A54">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3010226">
      <w:pPr>
        <w:pStyle w:val="4"/>
        <w:spacing w:line="360" w:lineRule="auto"/>
        <w:rPr>
          <w:rFonts w:ascii="宋体" w:hAnsi="宋体" w:cs="宋体"/>
          <w:b/>
          <w:bCs/>
          <w:color w:val="auto"/>
          <w:sz w:val="28"/>
          <w:szCs w:val="28"/>
          <w:highlight w:val="none"/>
        </w:rPr>
      </w:pPr>
    </w:p>
    <w:p w14:paraId="3DE7B1B8">
      <w:pPr>
        <w:pStyle w:val="34"/>
        <w:spacing w:line="360" w:lineRule="auto"/>
        <w:ind w:firstLine="480"/>
        <w:jc w:val="right"/>
        <w:rPr>
          <w:rFonts w:hint="default" w:ascii="宋体" w:hAnsi="宋体" w:cs="宋体"/>
          <w:color w:val="auto"/>
          <w:sz w:val="24"/>
          <w:szCs w:val="24"/>
          <w:highlight w:val="none"/>
        </w:rPr>
      </w:pPr>
    </w:p>
    <w:p w14:paraId="37801925">
      <w:pPr>
        <w:pStyle w:val="34"/>
        <w:spacing w:line="360" w:lineRule="auto"/>
        <w:ind w:firstLine="480"/>
        <w:jc w:val="right"/>
        <w:rPr>
          <w:rFonts w:hint="default" w:ascii="宋体" w:hAnsi="宋体" w:cs="宋体"/>
          <w:color w:val="auto"/>
          <w:sz w:val="24"/>
          <w:szCs w:val="24"/>
          <w:highlight w:val="none"/>
        </w:rPr>
      </w:pPr>
    </w:p>
    <w:p w14:paraId="2C156EBD">
      <w:pPr>
        <w:pStyle w:val="34"/>
        <w:spacing w:line="360" w:lineRule="auto"/>
        <w:ind w:firstLine="480"/>
        <w:jc w:val="right"/>
        <w:rPr>
          <w:rFonts w:hint="default" w:ascii="宋体" w:hAnsi="宋体" w:cs="宋体"/>
          <w:color w:val="auto"/>
          <w:sz w:val="24"/>
          <w:szCs w:val="24"/>
          <w:highlight w:val="none"/>
        </w:rPr>
      </w:pPr>
    </w:p>
    <w:p w14:paraId="162CBBB6">
      <w:pPr>
        <w:pStyle w:val="34"/>
        <w:spacing w:line="360" w:lineRule="auto"/>
        <w:ind w:firstLine="480"/>
        <w:jc w:val="right"/>
        <w:rPr>
          <w:rFonts w:hint="default" w:ascii="宋体" w:hAnsi="宋体" w:cs="宋体"/>
          <w:color w:val="auto"/>
          <w:sz w:val="24"/>
          <w:szCs w:val="24"/>
          <w:highlight w:val="none"/>
        </w:rPr>
      </w:pPr>
    </w:p>
    <w:p w14:paraId="51C1AE5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7E98C36">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9C45D35">
      <w:pPr>
        <w:pStyle w:val="3"/>
        <w:spacing w:line="360" w:lineRule="auto"/>
        <w:rPr>
          <w:rFonts w:ascii="楷体_GB2312" w:eastAsia="楷体_GB2312"/>
          <w:b/>
          <w:color w:val="auto"/>
          <w:sz w:val="44"/>
          <w:szCs w:val="44"/>
          <w:highlight w:val="none"/>
        </w:rPr>
      </w:pPr>
    </w:p>
    <w:p w14:paraId="29970BAD">
      <w:pPr>
        <w:pStyle w:val="8"/>
        <w:spacing w:line="360" w:lineRule="auto"/>
        <w:rPr>
          <w:rFonts w:ascii="楷体_GB2312" w:eastAsia="楷体_GB2312"/>
          <w:b/>
          <w:color w:val="auto"/>
          <w:sz w:val="44"/>
          <w:szCs w:val="44"/>
          <w:highlight w:val="none"/>
        </w:rPr>
      </w:pPr>
    </w:p>
    <w:p w14:paraId="779E7B42">
      <w:pPr>
        <w:pStyle w:val="3"/>
        <w:spacing w:line="360" w:lineRule="auto"/>
        <w:rPr>
          <w:rFonts w:ascii="楷体_GB2312" w:eastAsia="楷体_GB2312"/>
          <w:b/>
          <w:color w:val="auto"/>
          <w:sz w:val="44"/>
          <w:szCs w:val="44"/>
          <w:highlight w:val="none"/>
        </w:rPr>
      </w:pPr>
    </w:p>
    <w:p w14:paraId="39F9D293">
      <w:pPr>
        <w:pStyle w:val="8"/>
        <w:spacing w:line="360" w:lineRule="auto"/>
        <w:rPr>
          <w:rFonts w:ascii="楷体_GB2312" w:eastAsia="楷体_GB2312"/>
          <w:b/>
          <w:color w:val="auto"/>
          <w:sz w:val="44"/>
          <w:szCs w:val="44"/>
          <w:highlight w:val="none"/>
        </w:rPr>
      </w:pPr>
    </w:p>
    <w:p w14:paraId="71560112">
      <w:pPr>
        <w:pStyle w:val="3"/>
        <w:spacing w:line="360" w:lineRule="auto"/>
        <w:rPr>
          <w:rFonts w:ascii="楷体_GB2312" w:eastAsia="楷体_GB2312"/>
          <w:b/>
          <w:color w:val="auto"/>
          <w:sz w:val="44"/>
          <w:szCs w:val="44"/>
          <w:highlight w:val="none"/>
        </w:rPr>
      </w:pPr>
    </w:p>
    <w:p w14:paraId="1AEA7FD0">
      <w:pPr>
        <w:pStyle w:val="8"/>
        <w:spacing w:line="360" w:lineRule="auto"/>
        <w:rPr>
          <w:color w:val="auto"/>
          <w:highlight w:val="none"/>
        </w:rPr>
      </w:pPr>
    </w:p>
    <w:p w14:paraId="5AC080B0">
      <w:pPr>
        <w:pStyle w:val="3"/>
        <w:spacing w:line="360" w:lineRule="auto"/>
        <w:rPr>
          <w:rFonts w:ascii="楷体_GB2312" w:eastAsia="楷体_GB2312"/>
          <w:b/>
          <w:color w:val="auto"/>
          <w:sz w:val="44"/>
          <w:szCs w:val="44"/>
          <w:highlight w:val="none"/>
        </w:rPr>
      </w:pPr>
    </w:p>
    <w:p w14:paraId="330F67E5">
      <w:pPr>
        <w:pStyle w:val="8"/>
        <w:spacing w:line="360" w:lineRule="auto"/>
        <w:rPr>
          <w:rFonts w:ascii="楷体_GB2312" w:eastAsia="楷体_GB2312"/>
          <w:b/>
          <w:color w:val="auto"/>
          <w:sz w:val="44"/>
          <w:szCs w:val="44"/>
          <w:highlight w:val="none"/>
        </w:rPr>
      </w:pPr>
    </w:p>
    <w:p w14:paraId="7983B17F">
      <w:pPr>
        <w:pStyle w:val="3"/>
        <w:spacing w:line="360" w:lineRule="auto"/>
        <w:rPr>
          <w:rFonts w:ascii="楷体_GB2312" w:eastAsia="楷体_GB2312"/>
          <w:b/>
          <w:color w:val="auto"/>
          <w:sz w:val="44"/>
          <w:szCs w:val="44"/>
          <w:highlight w:val="none"/>
        </w:rPr>
      </w:pPr>
    </w:p>
    <w:p w14:paraId="7A6B0D78">
      <w:pPr>
        <w:pStyle w:val="8"/>
        <w:spacing w:line="360" w:lineRule="auto"/>
        <w:rPr>
          <w:rFonts w:ascii="楷体_GB2312" w:eastAsia="楷体_GB2312"/>
          <w:b/>
          <w:color w:val="auto"/>
          <w:sz w:val="44"/>
          <w:szCs w:val="44"/>
          <w:highlight w:val="none"/>
        </w:rPr>
      </w:pPr>
    </w:p>
    <w:p w14:paraId="20B7C20E">
      <w:pPr>
        <w:pStyle w:val="4"/>
        <w:spacing w:line="360" w:lineRule="auto"/>
        <w:rPr>
          <w:rFonts w:ascii="楷体_GB2312" w:eastAsia="楷体_GB2312"/>
          <w:b/>
          <w:color w:val="auto"/>
          <w:sz w:val="44"/>
          <w:szCs w:val="44"/>
          <w:highlight w:val="none"/>
        </w:rPr>
      </w:pPr>
    </w:p>
    <w:p w14:paraId="1ADD2836">
      <w:pPr>
        <w:pStyle w:val="4"/>
        <w:spacing w:line="360" w:lineRule="auto"/>
        <w:rPr>
          <w:rFonts w:ascii="楷体_GB2312" w:eastAsia="楷体_GB2312"/>
          <w:b/>
          <w:color w:val="auto"/>
          <w:sz w:val="44"/>
          <w:szCs w:val="44"/>
          <w:highlight w:val="none"/>
        </w:rPr>
      </w:pPr>
    </w:p>
    <w:p w14:paraId="1E1CC55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E26129B">
      <w:pPr>
        <w:pStyle w:val="30"/>
        <w:spacing w:after="120" w:line="360" w:lineRule="auto"/>
        <w:outlineLvl w:val="9"/>
        <w:rPr>
          <w:rStyle w:val="31"/>
          <w:rFonts w:hAnsi="宋体" w:cs="宋体"/>
          <w:b/>
          <w:bCs/>
          <w:color w:val="auto"/>
          <w:sz w:val="44"/>
          <w:szCs w:val="44"/>
          <w:highlight w:val="none"/>
        </w:rPr>
      </w:pPr>
    </w:p>
    <w:p w14:paraId="0E55143D">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45785215">
      <w:pPr>
        <w:spacing w:line="360" w:lineRule="auto"/>
        <w:ind w:firstLine="1920" w:firstLineChars="200"/>
        <w:jc w:val="left"/>
        <w:rPr>
          <w:color w:val="auto"/>
          <w:sz w:val="96"/>
          <w:szCs w:val="96"/>
          <w:highlight w:val="none"/>
        </w:rPr>
      </w:pPr>
    </w:p>
    <w:p w14:paraId="3231AE42">
      <w:pPr>
        <w:spacing w:line="360" w:lineRule="auto"/>
        <w:ind w:firstLine="1920" w:firstLineChars="200"/>
        <w:jc w:val="left"/>
        <w:rPr>
          <w:color w:val="auto"/>
          <w:sz w:val="96"/>
          <w:szCs w:val="96"/>
          <w:highlight w:val="none"/>
        </w:rPr>
      </w:pPr>
    </w:p>
    <w:p w14:paraId="2145924F">
      <w:pPr>
        <w:pStyle w:val="6"/>
        <w:spacing w:line="360" w:lineRule="auto"/>
        <w:rPr>
          <w:color w:val="auto"/>
          <w:highlight w:val="none"/>
        </w:rPr>
      </w:pPr>
    </w:p>
    <w:p w14:paraId="01F6FE16">
      <w:pPr>
        <w:spacing w:line="360" w:lineRule="auto"/>
        <w:ind w:firstLine="1920" w:firstLineChars="200"/>
        <w:jc w:val="left"/>
        <w:rPr>
          <w:color w:val="auto"/>
          <w:sz w:val="96"/>
          <w:szCs w:val="96"/>
          <w:highlight w:val="none"/>
        </w:rPr>
      </w:pPr>
    </w:p>
    <w:p w14:paraId="499F3749">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E4F4CED">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29FC0BDA">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3D1C42F">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3C7738D">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7808D441">
      <w:pPr>
        <w:spacing w:line="360" w:lineRule="auto"/>
        <w:rPr>
          <w:color w:val="auto"/>
          <w:highlight w:val="none"/>
        </w:rPr>
      </w:pPr>
    </w:p>
    <w:p w14:paraId="289B2700">
      <w:pPr>
        <w:pStyle w:val="4"/>
        <w:spacing w:line="360" w:lineRule="auto"/>
        <w:rPr>
          <w:color w:val="auto"/>
          <w:highlight w:val="none"/>
        </w:rPr>
      </w:pPr>
    </w:p>
    <w:p w14:paraId="0E4F45DB">
      <w:pPr>
        <w:rPr>
          <w:color w:val="auto"/>
          <w:highlight w:val="none"/>
        </w:rPr>
      </w:pPr>
      <w:r>
        <w:rPr>
          <w:color w:val="auto"/>
          <w:highlight w:val="none"/>
        </w:rPr>
        <w:br w:type="page"/>
      </w:r>
    </w:p>
    <w:p w14:paraId="0AACC977">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1E384671">
      <w:pPr>
        <w:pStyle w:val="6"/>
        <w:spacing w:line="360" w:lineRule="auto"/>
        <w:rPr>
          <w:color w:val="auto"/>
          <w:sz w:val="24"/>
          <w:szCs w:val="24"/>
          <w:highlight w:val="none"/>
        </w:rPr>
      </w:pPr>
      <w:r>
        <w:rPr>
          <w:rFonts w:hint="eastAsia"/>
          <w:color w:val="auto"/>
          <w:sz w:val="24"/>
          <w:szCs w:val="24"/>
          <w:highlight w:val="none"/>
        </w:rPr>
        <w:t xml:space="preserve">项目编号：    </w:t>
      </w:r>
    </w:p>
    <w:p w14:paraId="4CF7AF38">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0F8712DD">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59"/>
        <w:gridCol w:w="2124"/>
        <w:gridCol w:w="1389"/>
        <w:gridCol w:w="1738"/>
        <w:gridCol w:w="2963"/>
      </w:tblGrid>
      <w:tr w14:paraId="49BE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14:paraId="7360818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1" w:type="pct"/>
            <w:vAlign w:val="center"/>
          </w:tcPr>
          <w:p w14:paraId="10E474C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6" w:type="pct"/>
            <w:vAlign w:val="center"/>
          </w:tcPr>
          <w:p w14:paraId="3E55C93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7" w:type="pct"/>
            <w:vAlign w:val="center"/>
          </w:tcPr>
          <w:p w14:paraId="7B1A3B33">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14:paraId="39090039">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87" w:type="pct"/>
            <w:vAlign w:val="center"/>
          </w:tcPr>
          <w:p w14:paraId="670384D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689A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14:paraId="3BE3A225">
            <w:pPr>
              <w:snapToGrid w:val="0"/>
              <w:spacing w:line="360" w:lineRule="auto"/>
              <w:jc w:val="center"/>
              <w:rPr>
                <w:rFonts w:ascii="宋体" w:hAnsi="宋体"/>
                <w:color w:val="auto"/>
                <w:sz w:val="24"/>
                <w:highlight w:val="none"/>
              </w:rPr>
            </w:pPr>
          </w:p>
        </w:tc>
        <w:tc>
          <w:tcPr>
            <w:tcW w:w="431" w:type="pct"/>
            <w:vAlign w:val="center"/>
          </w:tcPr>
          <w:p w14:paraId="1F1FCB00">
            <w:pPr>
              <w:snapToGrid w:val="0"/>
              <w:spacing w:line="360" w:lineRule="auto"/>
              <w:jc w:val="center"/>
              <w:rPr>
                <w:rFonts w:ascii="宋体" w:hAnsi="宋体"/>
                <w:color w:val="auto"/>
                <w:sz w:val="24"/>
                <w:highlight w:val="none"/>
              </w:rPr>
            </w:pPr>
          </w:p>
        </w:tc>
        <w:tc>
          <w:tcPr>
            <w:tcW w:w="1066" w:type="pct"/>
            <w:vAlign w:val="center"/>
          </w:tcPr>
          <w:p w14:paraId="4DB78068">
            <w:pPr>
              <w:snapToGrid w:val="0"/>
              <w:spacing w:line="360" w:lineRule="auto"/>
              <w:jc w:val="center"/>
              <w:rPr>
                <w:rFonts w:ascii="宋体" w:hAnsi="宋体"/>
                <w:color w:val="auto"/>
                <w:sz w:val="24"/>
                <w:highlight w:val="none"/>
              </w:rPr>
            </w:pPr>
          </w:p>
        </w:tc>
        <w:tc>
          <w:tcPr>
            <w:tcW w:w="697" w:type="pct"/>
            <w:vAlign w:val="center"/>
          </w:tcPr>
          <w:p w14:paraId="1DB33174">
            <w:pPr>
              <w:snapToGrid w:val="0"/>
              <w:spacing w:line="360" w:lineRule="auto"/>
              <w:jc w:val="center"/>
              <w:rPr>
                <w:rFonts w:ascii="宋体" w:hAnsi="宋体"/>
                <w:color w:val="auto"/>
                <w:sz w:val="24"/>
                <w:highlight w:val="none"/>
              </w:rPr>
            </w:pPr>
          </w:p>
        </w:tc>
        <w:tc>
          <w:tcPr>
            <w:tcW w:w="872" w:type="pct"/>
            <w:vAlign w:val="center"/>
          </w:tcPr>
          <w:p w14:paraId="13AF13CE">
            <w:pPr>
              <w:snapToGrid w:val="0"/>
              <w:spacing w:line="360" w:lineRule="auto"/>
              <w:jc w:val="center"/>
              <w:rPr>
                <w:rFonts w:ascii="宋体" w:hAnsi="宋体" w:cs="宋体"/>
                <w:color w:val="auto"/>
                <w:kern w:val="0"/>
                <w:sz w:val="24"/>
                <w:highlight w:val="none"/>
              </w:rPr>
            </w:pPr>
          </w:p>
        </w:tc>
        <w:tc>
          <w:tcPr>
            <w:tcW w:w="1487" w:type="pct"/>
            <w:vAlign w:val="center"/>
          </w:tcPr>
          <w:p w14:paraId="7040AA9A">
            <w:pPr>
              <w:widowControl/>
              <w:spacing w:line="360" w:lineRule="auto"/>
              <w:jc w:val="left"/>
              <w:rPr>
                <w:rFonts w:ascii="宋体" w:hAnsi="宋体"/>
                <w:color w:val="auto"/>
                <w:sz w:val="24"/>
                <w:highlight w:val="none"/>
              </w:rPr>
            </w:pPr>
          </w:p>
        </w:tc>
      </w:tr>
    </w:tbl>
    <w:p w14:paraId="5FE98CC2">
      <w:pPr>
        <w:pStyle w:val="32"/>
        <w:spacing w:line="360" w:lineRule="auto"/>
        <w:ind w:firstLine="6240" w:firstLineChars="2600"/>
        <w:rPr>
          <w:rFonts w:ascii="宋体" w:hAnsi="宋体"/>
          <w:color w:val="auto"/>
          <w:sz w:val="24"/>
          <w:highlight w:val="none"/>
        </w:rPr>
      </w:pPr>
    </w:p>
    <w:p w14:paraId="4302E1F4">
      <w:pPr>
        <w:pStyle w:val="32"/>
        <w:spacing w:line="360" w:lineRule="auto"/>
        <w:ind w:firstLine="6240" w:firstLineChars="2600"/>
        <w:rPr>
          <w:rFonts w:ascii="宋体" w:hAnsi="宋体"/>
          <w:color w:val="auto"/>
          <w:sz w:val="24"/>
          <w:highlight w:val="none"/>
        </w:rPr>
      </w:pPr>
    </w:p>
    <w:p w14:paraId="1FBC1F2C">
      <w:pPr>
        <w:pStyle w:val="32"/>
        <w:spacing w:line="360" w:lineRule="auto"/>
        <w:ind w:firstLine="6240" w:firstLineChars="2600"/>
        <w:rPr>
          <w:rFonts w:ascii="宋体" w:hAnsi="宋体"/>
          <w:color w:val="auto"/>
          <w:sz w:val="24"/>
          <w:highlight w:val="none"/>
        </w:rPr>
      </w:pPr>
    </w:p>
    <w:p w14:paraId="3137FE3F">
      <w:pPr>
        <w:pStyle w:val="17"/>
        <w:spacing w:before="75" w:beforeAutospacing="0" w:after="75" w:afterAutospacing="0" w:line="360" w:lineRule="auto"/>
        <w:rPr>
          <w:color w:val="auto"/>
          <w:sz w:val="28"/>
          <w:szCs w:val="28"/>
          <w:highlight w:val="none"/>
        </w:rPr>
      </w:pPr>
    </w:p>
    <w:p w14:paraId="633376E4">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3D71C29E">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09507DAC">
      <w:pPr>
        <w:spacing w:line="360" w:lineRule="auto"/>
        <w:ind w:firstLine="3240" w:firstLineChars="1350"/>
        <w:rPr>
          <w:color w:val="auto"/>
          <w:highlight w:val="none"/>
        </w:rPr>
      </w:pPr>
      <w:r>
        <w:rPr>
          <w:rFonts w:hint="eastAsia" w:ascii="宋体" w:hAnsi="宋体"/>
          <w:color w:val="auto"/>
          <w:sz w:val="24"/>
          <w:highlight w:val="none"/>
        </w:rPr>
        <w:t>日期：</w:t>
      </w:r>
    </w:p>
    <w:p w14:paraId="4A9D0BE4">
      <w:pPr>
        <w:spacing w:line="360" w:lineRule="auto"/>
        <w:rPr>
          <w:color w:val="auto"/>
          <w:highlight w:val="none"/>
        </w:rPr>
      </w:pPr>
    </w:p>
    <w:p w14:paraId="3E33A1BB">
      <w:pPr>
        <w:spacing w:line="360" w:lineRule="auto"/>
        <w:rPr>
          <w:color w:val="auto"/>
          <w:highlight w:val="none"/>
        </w:rPr>
      </w:pPr>
    </w:p>
    <w:p w14:paraId="14DB2C72">
      <w:pPr>
        <w:spacing w:line="360" w:lineRule="auto"/>
        <w:rPr>
          <w:color w:val="auto"/>
          <w:highlight w:val="none"/>
        </w:rPr>
      </w:pPr>
    </w:p>
    <w:p w14:paraId="62076626">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791C">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D3BA6F">
                          <w:pPr>
                            <w:pStyle w:val="15"/>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2D3BA6F">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68537E"/>
    <w:rsid w:val="00027D4D"/>
    <w:rsid w:val="00031AD6"/>
    <w:rsid w:val="00121FB2"/>
    <w:rsid w:val="00345BF3"/>
    <w:rsid w:val="0068537E"/>
    <w:rsid w:val="00B46266"/>
    <w:rsid w:val="00C141DA"/>
    <w:rsid w:val="00C31F69"/>
    <w:rsid w:val="00D00D39"/>
    <w:rsid w:val="00E02348"/>
    <w:rsid w:val="04EF2DE0"/>
    <w:rsid w:val="08143E14"/>
    <w:rsid w:val="09A06EBC"/>
    <w:rsid w:val="0B45386E"/>
    <w:rsid w:val="0BC63052"/>
    <w:rsid w:val="0C126086"/>
    <w:rsid w:val="0D4E228E"/>
    <w:rsid w:val="0DEE133C"/>
    <w:rsid w:val="0DFC6B97"/>
    <w:rsid w:val="1134315E"/>
    <w:rsid w:val="12A94311"/>
    <w:rsid w:val="12E8710C"/>
    <w:rsid w:val="14000B07"/>
    <w:rsid w:val="14942B05"/>
    <w:rsid w:val="15235970"/>
    <w:rsid w:val="15247171"/>
    <w:rsid w:val="15A54AE3"/>
    <w:rsid w:val="16F53396"/>
    <w:rsid w:val="17324C05"/>
    <w:rsid w:val="1817699B"/>
    <w:rsid w:val="1842351C"/>
    <w:rsid w:val="191A53F6"/>
    <w:rsid w:val="19413534"/>
    <w:rsid w:val="1A53594C"/>
    <w:rsid w:val="1AD77600"/>
    <w:rsid w:val="1ADE3486"/>
    <w:rsid w:val="1CA26245"/>
    <w:rsid w:val="1D1B522E"/>
    <w:rsid w:val="1DFC4E79"/>
    <w:rsid w:val="1E2C09AB"/>
    <w:rsid w:val="1E7B7C40"/>
    <w:rsid w:val="1E897F61"/>
    <w:rsid w:val="1EC57EC3"/>
    <w:rsid w:val="1FB35AA9"/>
    <w:rsid w:val="22C676A0"/>
    <w:rsid w:val="23C8685E"/>
    <w:rsid w:val="246E43C5"/>
    <w:rsid w:val="25472BF5"/>
    <w:rsid w:val="2778394C"/>
    <w:rsid w:val="27C42B43"/>
    <w:rsid w:val="28595757"/>
    <w:rsid w:val="28A11BB3"/>
    <w:rsid w:val="2AC505F3"/>
    <w:rsid w:val="2B9444C3"/>
    <w:rsid w:val="2BB5293D"/>
    <w:rsid w:val="2C1A6AFF"/>
    <w:rsid w:val="2CF20FA2"/>
    <w:rsid w:val="2F184479"/>
    <w:rsid w:val="314B5F88"/>
    <w:rsid w:val="3214608E"/>
    <w:rsid w:val="33A8402F"/>
    <w:rsid w:val="34A25D9C"/>
    <w:rsid w:val="36244CE0"/>
    <w:rsid w:val="36676F28"/>
    <w:rsid w:val="36F71D9D"/>
    <w:rsid w:val="38057A77"/>
    <w:rsid w:val="38AD2C56"/>
    <w:rsid w:val="3AB52C3C"/>
    <w:rsid w:val="3D6C7658"/>
    <w:rsid w:val="3DC2628F"/>
    <w:rsid w:val="3DF12237"/>
    <w:rsid w:val="3E225B46"/>
    <w:rsid w:val="3ED122A0"/>
    <w:rsid w:val="3F850CF3"/>
    <w:rsid w:val="42B81734"/>
    <w:rsid w:val="448B6C94"/>
    <w:rsid w:val="4564374E"/>
    <w:rsid w:val="47D84234"/>
    <w:rsid w:val="48230A72"/>
    <w:rsid w:val="489259CA"/>
    <w:rsid w:val="4CE2174D"/>
    <w:rsid w:val="4D66222C"/>
    <w:rsid w:val="4D824513"/>
    <w:rsid w:val="4DB8035E"/>
    <w:rsid w:val="4DE14AE4"/>
    <w:rsid w:val="4E182762"/>
    <w:rsid w:val="50E86392"/>
    <w:rsid w:val="51175654"/>
    <w:rsid w:val="51497716"/>
    <w:rsid w:val="51B74CC0"/>
    <w:rsid w:val="51C7007A"/>
    <w:rsid w:val="522C2C59"/>
    <w:rsid w:val="52886937"/>
    <w:rsid w:val="533509B9"/>
    <w:rsid w:val="55B57D03"/>
    <w:rsid w:val="56316529"/>
    <w:rsid w:val="563929F4"/>
    <w:rsid w:val="570A6A93"/>
    <w:rsid w:val="572F491B"/>
    <w:rsid w:val="574F3257"/>
    <w:rsid w:val="57F55ADD"/>
    <w:rsid w:val="58F506B4"/>
    <w:rsid w:val="59E500CD"/>
    <w:rsid w:val="5B761B8D"/>
    <w:rsid w:val="5C8A37E8"/>
    <w:rsid w:val="5E0B32F7"/>
    <w:rsid w:val="5E741D96"/>
    <w:rsid w:val="5ED510A9"/>
    <w:rsid w:val="5EDD44A4"/>
    <w:rsid w:val="5F480A54"/>
    <w:rsid w:val="641847D4"/>
    <w:rsid w:val="66E85E24"/>
    <w:rsid w:val="67BA53B7"/>
    <w:rsid w:val="69E70454"/>
    <w:rsid w:val="6A1A1EE9"/>
    <w:rsid w:val="6A7B495D"/>
    <w:rsid w:val="6AB61037"/>
    <w:rsid w:val="6CA452B9"/>
    <w:rsid w:val="6F2D3F54"/>
    <w:rsid w:val="6FC93B40"/>
    <w:rsid w:val="716F557B"/>
    <w:rsid w:val="72BB3CBA"/>
    <w:rsid w:val="73394402"/>
    <w:rsid w:val="741B7106"/>
    <w:rsid w:val="74991F10"/>
    <w:rsid w:val="74B308B5"/>
    <w:rsid w:val="75247769"/>
    <w:rsid w:val="76724CB1"/>
    <w:rsid w:val="76D85F24"/>
    <w:rsid w:val="77A44224"/>
    <w:rsid w:val="784B177B"/>
    <w:rsid w:val="78935FD8"/>
    <w:rsid w:val="78D0162B"/>
    <w:rsid w:val="7D3F0A9F"/>
    <w:rsid w:val="7D557E56"/>
    <w:rsid w:val="7D731875"/>
    <w:rsid w:val="7E626048"/>
    <w:rsid w:val="7F271109"/>
    <w:rsid w:val="7FA1147B"/>
    <w:rsid w:val="7FA3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next w:val="3"/>
    <w:autoRedefine/>
    <w:qFormat/>
    <w:uiPriority w:val="0"/>
    <w:pPr>
      <w:ind w:firstLine="420"/>
    </w:pPr>
    <w:rPr>
      <w:szCs w:val="20"/>
    </w:rPr>
  </w:style>
  <w:style w:type="paragraph" w:styleId="9">
    <w:name w:val="Document Map"/>
    <w:basedOn w:val="1"/>
    <w:next w:val="1"/>
    <w:autoRedefine/>
    <w:qFormat/>
    <w:uiPriority w:val="99"/>
    <w:pPr>
      <w:shd w:val="clear" w:color="000000" w:fill="00007F"/>
    </w:pPr>
    <w:rPr>
      <w:kern w:val="1"/>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Plain Text"/>
    <w:basedOn w:val="1"/>
    <w:autoRedefine/>
    <w:qFormat/>
    <w:uiPriority w:val="0"/>
    <w:rPr>
      <w:rFonts w:ascii="宋体" w:hAnsi="Courier New"/>
      <w:kern w:val="0"/>
      <w:sz w:val="20"/>
    </w:rPr>
  </w:style>
  <w:style w:type="paragraph" w:styleId="13">
    <w:name w:val="Body Text Indent 2"/>
    <w:basedOn w:val="1"/>
    <w:autoRedefine/>
    <w:qFormat/>
    <w:uiPriority w:val="0"/>
    <w:pPr>
      <w:spacing w:line="480" w:lineRule="auto"/>
      <w:ind w:left="420" w:leftChars="200"/>
    </w:pPr>
  </w:style>
  <w:style w:type="paragraph" w:styleId="14">
    <w:name w:val="Balloon Text"/>
    <w:basedOn w:val="1"/>
    <w:link w:val="36"/>
    <w:autoRedefine/>
    <w:qFormat/>
    <w:uiPriority w:val="0"/>
    <w:rPr>
      <w:sz w:val="18"/>
      <w:szCs w:val="18"/>
    </w:rPr>
  </w:style>
  <w:style w:type="paragraph" w:styleId="15">
    <w:name w:val="footer"/>
    <w:basedOn w:val="1"/>
    <w:next w:val="1"/>
    <w:autoRedefine/>
    <w:qFormat/>
    <w:uiPriority w:val="99"/>
    <w:pPr>
      <w:tabs>
        <w:tab w:val="center" w:pos="4153"/>
        <w:tab w:val="right" w:pos="8306"/>
      </w:tabs>
      <w:snapToGrid w:val="0"/>
      <w:jc w:val="left"/>
    </w:pPr>
    <w:rPr>
      <w:sz w:val="18"/>
      <w:szCs w:val="18"/>
    </w:rPr>
  </w:style>
  <w:style w:type="paragraph" w:styleId="16">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11"/>
    <w:next w:val="2"/>
    <w:autoRedefine/>
    <w:qFormat/>
    <w:uiPriority w:val="0"/>
    <w:pPr>
      <w:ind w:firstLine="420" w:firstLineChars="100"/>
    </w:pPr>
    <w:rPr>
      <w:rFonts w:ascii="Times New Roman" w:hAnsi="Times New Roman"/>
      <w:szCs w:val="20"/>
    </w:r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FollowedHyperlink"/>
    <w:basedOn w:val="23"/>
    <w:qFormat/>
    <w:uiPriority w:val="0"/>
    <w:rPr>
      <w:color w:val="338DE6"/>
      <w:u w:val="none"/>
    </w:rPr>
  </w:style>
  <w:style w:type="character" w:styleId="26">
    <w:name w:val="Hyperlink"/>
    <w:basedOn w:val="23"/>
    <w:autoRedefine/>
    <w:qFormat/>
    <w:uiPriority w:val="0"/>
    <w:rPr>
      <w:color w:val="0000FF"/>
      <w:u w:val="single"/>
    </w:rPr>
  </w:style>
  <w:style w:type="character" w:styleId="27">
    <w:name w:val="annotation reference"/>
    <w:basedOn w:val="23"/>
    <w:autoRedefine/>
    <w:qFormat/>
    <w:uiPriority w:val="0"/>
    <w:rPr>
      <w:sz w:val="21"/>
      <w:szCs w:val="21"/>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样式3"/>
    <w:basedOn w:val="12"/>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3"/>
    <w:link w:val="16"/>
    <w:autoRedefine/>
    <w:qFormat/>
    <w:uiPriority w:val="0"/>
    <w:rPr>
      <w:rFonts w:ascii="Calibri" w:hAnsi="Calibri"/>
      <w:kern w:val="2"/>
      <w:sz w:val="18"/>
      <w:szCs w:val="18"/>
    </w:rPr>
  </w:style>
  <w:style w:type="character" w:customStyle="1" w:styleId="36">
    <w:name w:val="批注框文本 Char"/>
    <w:basedOn w:val="23"/>
    <w:link w:val="14"/>
    <w:autoRedefine/>
    <w:qFormat/>
    <w:uiPriority w:val="0"/>
    <w:rPr>
      <w:rFonts w:ascii="Calibri" w:hAnsi="Calibri"/>
      <w:kern w:val="2"/>
      <w:sz w:val="18"/>
      <w:szCs w:val="18"/>
    </w:rPr>
  </w:style>
  <w:style w:type="character" w:customStyle="1" w:styleId="37">
    <w:name w:val="font31"/>
    <w:basedOn w:val="23"/>
    <w:autoRedefine/>
    <w:qFormat/>
    <w:uiPriority w:val="0"/>
    <w:rPr>
      <w:rFonts w:hint="eastAsia" w:ascii="宋体" w:hAnsi="宋体" w:eastAsia="宋体" w:cs="宋体"/>
      <w:color w:val="000000"/>
      <w:sz w:val="22"/>
      <w:szCs w:val="22"/>
      <w:u w:val="none"/>
    </w:rPr>
  </w:style>
  <w:style w:type="paragraph" w:customStyle="1" w:styleId="38">
    <w:name w:val="cjk"/>
    <w:basedOn w:val="1"/>
    <w:autoRedefine/>
    <w:qFormat/>
    <w:uiPriority w:val="0"/>
    <w:pPr>
      <w:widowControl/>
      <w:spacing w:before="100" w:beforeAutospacing="1" w:after="100" w:afterAutospacing="1"/>
      <w:jc w:val="left"/>
    </w:pPr>
    <w:rPr>
      <w:rFonts w:ascii="宋体" w:hAnsi="宋体" w:cs="宋体"/>
      <w:kern w:val="0"/>
      <w:sz w:val="24"/>
    </w:rPr>
  </w:style>
  <w:style w:type="paragraph" w:styleId="39">
    <w:name w:val="List Paragraph"/>
    <w:basedOn w:val="1"/>
    <w:autoRedefine/>
    <w:qFormat/>
    <w:uiPriority w:val="34"/>
    <w:pPr>
      <w:ind w:firstLine="420" w:firstLineChars="200"/>
    </w:pPr>
  </w:style>
  <w:style w:type="character" w:customStyle="1" w:styleId="40">
    <w:name w:val="desc_qp311"/>
    <w:basedOn w:val="23"/>
    <w:qFormat/>
    <w:uiPriority w:val="0"/>
    <w:rPr>
      <w:color w:val="333333"/>
    </w:rPr>
  </w:style>
  <w:style w:type="character" w:customStyle="1" w:styleId="41">
    <w:name w:val="first-child"/>
    <w:basedOn w:val="23"/>
    <w:qFormat/>
    <w:uiPriority w:val="0"/>
  </w:style>
  <w:style w:type="character" w:customStyle="1" w:styleId="42">
    <w:name w:val="first-child1"/>
    <w:basedOn w:val="23"/>
    <w:qFormat/>
    <w:uiPriority w:val="0"/>
  </w:style>
  <w:style w:type="character" w:customStyle="1" w:styleId="43">
    <w:name w:val="type_twzvq"/>
    <w:basedOn w:val="23"/>
    <w:qFormat/>
    <w:uiPriority w:val="0"/>
    <w:rPr>
      <w:color w:val="99999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16860</Words>
  <Characters>17740</Characters>
  <Lines>107</Lines>
  <Paragraphs>30</Paragraphs>
  <TotalTime>3</TotalTime>
  <ScaleCrop>false</ScaleCrop>
  <LinksUpToDate>false</LinksUpToDate>
  <CharactersWithSpaces>18363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lan</cp:lastModifiedBy>
  <cp:lastPrinted>2024-05-08T08:34:00Z</cp:lastPrinted>
  <dcterms:modified xsi:type="dcterms:W3CDTF">2024-10-23T03:15:30Z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D0866EA521094BF79EE3A44CA3B973D2_13</vt:lpwstr>
  </property>
</Properties>
</file>